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CD5C" w14:textId="77777777" w:rsidR="00C47611" w:rsidRDefault="00C47611" w:rsidP="00C47611">
      <w:pPr>
        <w:jc w:val="right"/>
      </w:pPr>
      <w:bookmarkStart w:id="0" w:name="_Toc513794770"/>
      <w:bookmarkStart w:id="1" w:name="_Hlk19712934"/>
      <w:r>
        <w:rPr>
          <w:rFonts w:hint="eastAsia"/>
        </w:rPr>
        <w:t>（项目logo）</w:t>
      </w:r>
    </w:p>
    <w:p w14:paraId="7CF41092" w14:textId="77777777" w:rsidR="00C47611" w:rsidRDefault="00C47611" w:rsidP="00C47611">
      <w:pPr>
        <w:jc w:val="right"/>
      </w:pPr>
      <w:r>
        <w:rPr>
          <w:rFonts w:hint="eastAsia"/>
        </w:rPr>
        <w:t>中国能源模型论坛研究报告</w:t>
      </w:r>
    </w:p>
    <w:p w14:paraId="3A2C9C30" w14:textId="25DA342A" w:rsidR="00C47611" w:rsidRDefault="00C47611" w:rsidP="00C47611">
      <w:pPr>
        <w:jc w:val="right"/>
      </w:pPr>
      <w:r>
        <w:rPr>
          <w:rFonts w:hint="eastAsia"/>
        </w:rPr>
        <w:t>第1</w:t>
      </w:r>
      <w:r w:rsidR="007F0074">
        <w:t>1</w:t>
      </w:r>
      <w:bookmarkStart w:id="2" w:name="_GoBack"/>
      <w:bookmarkEnd w:id="2"/>
      <w:r>
        <w:rPr>
          <w:rFonts w:hint="eastAsia"/>
        </w:rPr>
        <w:t>期</w:t>
      </w:r>
    </w:p>
    <w:p w14:paraId="5C70ADAF" w14:textId="77777777" w:rsidR="00C47611" w:rsidRDefault="00C47611" w:rsidP="00C47611">
      <w:pPr>
        <w:jc w:val="right"/>
      </w:pPr>
    </w:p>
    <w:p w14:paraId="69C40104" w14:textId="77777777" w:rsidR="00C47611" w:rsidRDefault="00C47611" w:rsidP="00C47611">
      <w:pPr>
        <w:jc w:val="right"/>
      </w:pPr>
    </w:p>
    <w:p w14:paraId="1F67EC9E" w14:textId="77777777" w:rsidR="00C47611" w:rsidRDefault="00C47611" w:rsidP="00C47611">
      <w:pPr>
        <w:jc w:val="right"/>
      </w:pPr>
    </w:p>
    <w:p w14:paraId="70ED2E08" w14:textId="4FE72AA2" w:rsidR="00C47611" w:rsidRDefault="00C47611" w:rsidP="00C47611">
      <w:pPr>
        <w:jc w:val="right"/>
        <w:rPr>
          <w:rFonts w:ascii="Times New Roman" w:eastAsia="宋体" w:hAnsi="Times New Roman" w:cs="Times New Roman"/>
          <w:b/>
          <w:color w:val="000000"/>
          <w:kern w:val="21"/>
          <w:sz w:val="32"/>
          <w:szCs w:val="21"/>
        </w:rPr>
      </w:pPr>
      <w:r w:rsidRPr="009C0BF7">
        <w:rPr>
          <w:rFonts w:ascii="Times New Roman" w:eastAsia="宋体" w:hAnsi="Times New Roman" w:cs="Times New Roman" w:hint="eastAsia"/>
          <w:b/>
          <w:color w:val="000000"/>
          <w:kern w:val="21"/>
          <w:sz w:val="32"/>
          <w:szCs w:val="21"/>
        </w:rPr>
        <w:t>上海市和广东省低碳发展报告</w:t>
      </w:r>
    </w:p>
    <w:p w14:paraId="1C33E0E0" w14:textId="77777777" w:rsidR="00850D9D" w:rsidRPr="009C0BF7" w:rsidRDefault="00850D9D" w:rsidP="00850D9D">
      <w:pPr>
        <w:topLinePunct/>
        <w:adjustRightInd w:val="0"/>
        <w:ind w:firstLineChars="200" w:firstLine="422"/>
        <w:jc w:val="center"/>
        <w:rPr>
          <w:rFonts w:ascii="Times New Roman" w:eastAsia="宋体" w:hAnsi="Times New Roman" w:cs="Times New Roman"/>
          <w:b/>
          <w:color w:val="000000"/>
          <w:kern w:val="21"/>
          <w:szCs w:val="21"/>
        </w:rPr>
      </w:pPr>
      <w:r w:rsidRPr="009C0BF7">
        <w:rPr>
          <w:rFonts w:ascii="Times New Roman" w:eastAsia="宋体" w:hAnsi="Times New Roman" w:cs="Times New Roman" w:hint="eastAsia"/>
          <w:b/>
          <w:color w:val="000000"/>
          <w:kern w:val="21"/>
          <w:szCs w:val="21"/>
        </w:rPr>
        <w:t>北京大学</w:t>
      </w:r>
      <w:r>
        <w:rPr>
          <w:rFonts w:ascii="Times New Roman" w:eastAsia="宋体" w:hAnsi="Times New Roman" w:cs="Times New Roman" w:hint="eastAsia"/>
          <w:b/>
          <w:color w:val="000000"/>
          <w:kern w:val="21"/>
          <w:szCs w:val="21"/>
        </w:rPr>
        <w:t>能源环境经济与政策（</w:t>
      </w:r>
      <w:r>
        <w:rPr>
          <w:rFonts w:ascii="Times New Roman" w:eastAsia="宋体" w:hAnsi="Times New Roman" w:cs="Times New Roman" w:hint="eastAsia"/>
          <w:b/>
          <w:color w:val="000000"/>
          <w:kern w:val="21"/>
          <w:szCs w:val="21"/>
        </w:rPr>
        <w:t>L</w:t>
      </w:r>
      <w:r>
        <w:rPr>
          <w:rFonts w:ascii="Times New Roman" w:eastAsia="宋体" w:hAnsi="Times New Roman" w:cs="Times New Roman"/>
          <w:b/>
          <w:color w:val="000000"/>
          <w:kern w:val="21"/>
          <w:szCs w:val="21"/>
        </w:rPr>
        <w:t>EEEP</w:t>
      </w:r>
      <w:r>
        <w:rPr>
          <w:rFonts w:ascii="Times New Roman" w:eastAsia="宋体" w:hAnsi="Times New Roman" w:cs="Times New Roman" w:hint="eastAsia"/>
          <w:b/>
          <w:color w:val="000000"/>
          <w:kern w:val="21"/>
          <w:szCs w:val="21"/>
        </w:rPr>
        <w:t>）课题组</w:t>
      </w:r>
    </w:p>
    <w:p w14:paraId="725B6888" w14:textId="77777777" w:rsidR="00850D9D" w:rsidRPr="00850D9D" w:rsidRDefault="00850D9D" w:rsidP="00C47611">
      <w:pPr>
        <w:jc w:val="right"/>
        <w:rPr>
          <w:b/>
          <w:sz w:val="28"/>
          <w:szCs w:val="24"/>
        </w:rPr>
      </w:pPr>
    </w:p>
    <w:p w14:paraId="560BD16E" w14:textId="77777777" w:rsidR="00C47611" w:rsidRDefault="00C47611" w:rsidP="00C47611">
      <w:pPr>
        <w:jc w:val="right"/>
        <w:rPr>
          <w:b/>
          <w:sz w:val="28"/>
          <w:szCs w:val="24"/>
        </w:rPr>
      </w:pPr>
    </w:p>
    <w:p w14:paraId="1E6E51CA" w14:textId="77777777" w:rsidR="00C47611" w:rsidRDefault="00C47611" w:rsidP="00C47611">
      <w:pPr>
        <w:jc w:val="right"/>
        <w:rPr>
          <w:b/>
          <w:sz w:val="28"/>
          <w:szCs w:val="24"/>
        </w:rPr>
      </w:pPr>
    </w:p>
    <w:p w14:paraId="09446A48" w14:textId="77777777" w:rsidR="00C47611" w:rsidRDefault="00C47611" w:rsidP="00C47611">
      <w:pPr>
        <w:jc w:val="right"/>
        <w:rPr>
          <w:b/>
          <w:sz w:val="28"/>
          <w:szCs w:val="24"/>
        </w:rPr>
      </w:pPr>
    </w:p>
    <w:p w14:paraId="20AE12F7" w14:textId="77777777" w:rsidR="00C47611" w:rsidRDefault="00C47611" w:rsidP="00C47611">
      <w:pPr>
        <w:jc w:val="right"/>
        <w:rPr>
          <w:b/>
          <w:sz w:val="28"/>
          <w:szCs w:val="24"/>
        </w:rPr>
      </w:pPr>
    </w:p>
    <w:p w14:paraId="511A5A28" w14:textId="77777777" w:rsidR="00C47611" w:rsidRDefault="00C47611" w:rsidP="00C47611">
      <w:pPr>
        <w:jc w:val="right"/>
      </w:pPr>
      <w:r>
        <w:rPr>
          <w:rFonts w:hint="eastAsia"/>
          <w:b/>
          <w:sz w:val="28"/>
          <w:szCs w:val="24"/>
        </w:rPr>
        <w:t>合作伙伴logo</w:t>
      </w:r>
    </w:p>
    <w:p w14:paraId="7B0194DB" w14:textId="77777777" w:rsidR="00C47611" w:rsidRDefault="00C47611" w:rsidP="00C47611">
      <w:pPr>
        <w:jc w:val="right"/>
        <w:sectPr w:rsidR="00C47611" w:rsidSect="00C71FF1">
          <w:footnotePr>
            <w:numFmt w:val="decimalEnclosedCircleChinese"/>
            <w:numRestart w:val="eachPage"/>
          </w:footnotePr>
          <w:pgSz w:w="10433" w:h="14742"/>
          <w:pgMar w:top="2098" w:right="1531" w:bottom="2041" w:left="1531" w:header="1247" w:footer="1418" w:gutter="0"/>
          <w:cols w:space="425"/>
          <w:docGrid w:type="linesAndChars" w:linePitch="360"/>
        </w:sectPr>
      </w:pPr>
    </w:p>
    <w:p w14:paraId="06B89E15" w14:textId="77777777" w:rsidR="00C47611" w:rsidRDefault="00C47611" w:rsidP="00C47611">
      <w:pPr>
        <w:jc w:val="right"/>
      </w:pPr>
      <w:r>
        <w:rPr>
          <w:rFonts w:hint="eastAsia"/>
        </w:rPr>
        <w:lastRenderedPageBreak/>
        <w:t>中国能源模型论坛主题研究2（CEMF</w:t>
      </w:r>
      <w:r>
        <w:t>02</w:t>
      </w:r>
      <w:r>
        <w:rPr>
          <w:rFonts w:hint="eastAsia"/>
        </w:rPr>
        <w:t>）</w:t>
      </w:r>
    </w:p>
    <w:p w14:paraId="73953D4E" w14:textId="77777777" w:rsidR="00C47611" w:rsidRDefault="00C47611" w:rsidP="00C47611">
      <w:pPr>
        <w:jc w:val="right"/>
      </w:pPr>
      <w:r>
        <w:rPr>
          <w:rFonts w:hint="eastAsia"/>
        </w:rPr>
        <w:t>中国2</w:t>
      </w:r>
      <w:r>
        <w:t>050</w:t>
      </w:r>
      <w:r>
        <w:rPr>
          <w:rFonts w:hint="eastAsia"/>
        </w:rPr>
        <w:t>低排放发展战略研究</w:t>
      </w:r>
    </w:p>
    <w:p w14:paraId="3F5DC396" w14:textId="77777777" w:rsidR="00C47611" w:rsidRDefault="00C47611" w:rsidP="00C47611">
      <w:pPr>
        <w:jc w:val="right"/>
      </w:pPr>
      <w:r>
        <w:rPr>
          <w:rFonts w:hint="eastAsia"/>
        </w:rPr>
        <w:t>2</w:t>
      </w:r>
      <w:r>
        <w:t>019</w:t>
      </w:r>
      <w:r>
        <w:rPr>
          <w:rFonts w:hint="eastAsia"/>
        </w:rPr>
        <w:t>年1</w:t>
      </w:r>
      <w:r>
        <w:t>2</w:t>
      </w:r>
      <w:r>
        <w:rPr>
          <w:rFonts w:hint="eastAsia"/>
        </w:rPr>
        <w:t>月</w:t>
      </w:r>
    </w:p>
    <w:p w14:paraId="0B251ADA" w14:textId="77777777" w:rsidR="00C47611" w:rsidRPr="00794F91" w:rsidRDefault="00C47611" w:rsidP="00C47611">
      <w:pPr>
        <w:jc w:val="right"/>
      </w:pPr>
    </w:p>
    <w:p w14:paraId="2983CA01" w14:textId="77777777" w:rsidR="00C47611" w:rsidRPr="00794F91" w:rsidRDefault="00C47611" w:rsidP="00C47611"/>
    <w:bookmarkEnd w:id="0"/>
    <w:p w14:paraId="3FE953AB" w14:textId="0BB28D88" w:rsidR="00C47611" w:rsidRDefault="00C47611" w:rsidP="00C47611">
      <w:pPr>
        <w:pStyle w:val="1"/>
      </w:pPr>
      <w:r w:rsidRPr="009C0BF7">
        <w:rPr>
          <w:rFonts w:ascii="Times New Roman" w:hAnsi="Times New Roman" w:cs="Times New Roman" w:hint="eastAsia"/>
          <w:color w:val="000000"/>
          <w:kern w:val="21"/>
          <w:szCs w:val="21"/>
        </w:rPr>
        <w:t>上海市和广东省低碳发展报告</w:t>
      </w:r>
    </w:p>
    <w:p w14:paraId="753B8FA6" w14:textId="77777777" w:rsidR="00C47611" w:rsidRDefault="00C47611" w:rsidP="00C47611">
      <w:pPr>
        <w:pStyle w:val="2"/>
      </w:pPr>
    </w:p>
    <w:p w14:paraId="0902CCEB" w14:textId="77777777" w:rsidR="00C47611" w:rsidRDefault="00C47611" w:rsidP="00C47611">
      <w:pPr>
        <w:sectPr w:rsidR="00C47611" w:rsidSect="00C71FF1">
          <w:footnotePr>
            <w:numFmt w:val="decimalEnclosedCircleChinese"/>
            <w:numRestart w:val="eachPage"/>
          </w:footnotePr>
          <w:pgSz w:w="10433" w:h="14742"/>
          <w:pgMar w:top="2098" w:right="1531" w:bottom="2041" w:left="1531" w:header="1247" w:footer="1418" w:gutter="0"/>
          <w:cols w:space="425"/>
          <w:docGrid w:type="linesAndChars" w:linePitch="360"/>
        </w:sectPr>
      </w:pPr>
    </w:p>
    <w:p w14:paraId="4B7BFF5B" w14:textId="77777777" w:rsidR="00C47611" w:rsidRPr="00E83D19" w:rsidRDefault="00C47611" w:rsidP="00C47611">
      <w:pPr>
        <w:pStyle w:val="af8"/>
        <w:ind w:firstLineChars="200" w:firstLine="560"/>
        <w:rPr>
          <w:rFonts w:ascii="仿宋" w:eastAsia="仿宋" w:hAnsi="仿宋" w:cs="宋体"/>
          <w:sz w:val="28"/>
          <w:szCs w:val="28"/>
        </w:rPr>
      </w:pPr>
      <w:r w:rsidRPr="00E83D19">
        <w:rPr>
          <w:rFonts w:ascii="仿宋" w:eastAsia="仿宋" w:hAnsi="仿宋" w:cs="宋体"/>
          <w:sz w:val="28"/>
          <w:szCs w:val="28"/>
        </w:rPr>
        <w:lastRenderedPageBreak/>
        <w:t>【编者按】</w:t>
      </w:r>
      <w:r w:rsidRPr="00E83D19">
        <w:rPr>
          <w:rFonts w:ascii="仿宋" w:eastAsia="仿宋" w:hAnsi="仿宋" w:cs="宋体" w:hint="eastAsia"/>
          <w:sz w:val="28"/>
          <w:szCs w:val="28"/>
        </w:rPr>
        <w:t>中国能源模型论坛旨在</w:t>
      </w:r>
      <w:r>
        <w:rPr>
          <w:rFonts w:ascii="仿宋" w:eastAsia="仿宋" w:hAnsi="仿宋" w:cs="宋体" w:hint="eastAsia"/>
          <w:sz w:val="28"/>
          <w:szCs w:val="28"/>
        </w:rPr>
        <w:t>集合国内外能源、经济、环境研究领域领先的模型团队，共同探讨模型方法学的最新进展与未来趋势，促进国内外模型团队的写作、互动与沟通，提高模型团队开发和应用模型的能力，提升研究成果和政策建议的针对性、时效性、可实施性及影响力，加强模型工作者与政策制定者之间的交流</w:t>
      </w:r>
      <w:r w:rsidRPr="00E83D19">
        <w:rPr>
          <w:rFonts w:ascii="仿宋" w:eastAsia="仿宋" w:hAnsi="仿宋" w:cs="宋体" w:hint="eastAsia"/>
          <w:sz w:val="28"/>
          <w:szCs w:val="28"/>
        </w:rPr>
        <w:t>。</w:t>
      </w:r>
    </w:p>
    <w:p w14:paraId="6F00116F" w14:textId="77777777" w:rsidR="00C47611" w:rsidRPr="00E83D19" w:rsidRDefault="00C47611" w:rsidP="00C47611">
      <w:pPr>
        <w:pStyle w:val="af8"/>
        <w:ind w:firstLineChars="200" w:firstLine="560"/>
        <w:rPr>
          <w:rFonts w:ascii="仿宋" w:eastAsia="仿宋" w:hAnsi="仿宋" w:cs="宋体"/>
          <w:sz w:val="28"/>
          <w:szCs w:val="28"/>
        </w:rPr>
      </w:pPr>
      <w:r w:rsidRPr="00E83D19">
        <w:rPr>
          <w:rFonts w:ascii="仿宋" w:eastAsia="仿宋" w:hAnsi="仿宋" w:cs="宋体" w:hint="eastAsia"/>
          <w:sz w:val="28"/>
          <w:szCs w:val="28"/>
        </w:rPr>
        <w:t>《巴黎协定》邀请所有缔约方在2020年前提交长期温室气体低排放发展战略。习近平主席在十九大报告指出：加快生态文明体制改革，建设美丽中国。到2035年，生态环境根本好转，美丽中国目标基本实现；到本世纪中叶，把我国建设成富强民主文明和谐美丽的社会主义现代化强国。</w:t>
      </w:r>
    </w:p>
    <w:p w14:paraId="70A9C52F" w14:textId="77777777" w:rsidR="00C47611" w:rsidRPr="00E83D19" w:rsidRDefault="00C47611" w:rsidP="00C47611">
      <w:pPr>
        <w:pStyle w:val="af8"/>
        <w:ind w:firstLineChars="200" w:firstLine="560"/>
        <w:rPr>
          <w:rFonts w:ascii="仿宋" w:eastAsia="仿宋" w:hAnsi="仿宋" w:cs="宋体"/>
          <w:sz w:val="28"/>
          <w:szCs w:val="28"/>
        </w:rPr>
      </w:pPr>
      <w:r w:rsidRPr="00E83D19">
        <w:rPr>
          <w:rFonts w:ascii="仿宋" w:eastAsia="仿宋" w:hAnsi="仿宋" w:cs="宋体" w:hint="eastAsia"/>
          <w:sz w:val="28"/>
          <w:szCs w:val="28"/>
        </w:rPr>
        <w:t>CEMF02</w:t>
      </w:r>
      <w:r>
        <w:rPr>
          <w:rFonts w:ascii="仿宋" w:eastAsia="仿宋" w:hAnsi="仿宋" w:cs="宋体" w:hint="eastAsia"/>
          <w:sz w:val="28"/>
          <w:szCs w:val="28"/>
        </w:rPr>
        <w:t>于2</w:t>
      </w:r>
      <w:r>
        <w:rPr>
          <w:rFonts w:ascii="仿宋" w:eastAsia="仿宋" w:hAnsi="仿宋" w:cs="宋体"/>
          <w:sz w:val="28"/>
          <w:szCs w:val="28"/>
        </w:rPr>
        <w:t>016</w:t>
      </w:r>
      <w:r>
        <w:rPr>
          <w:rFonts w:ascii="仿宋" w:eastAsia="仿宋" w:hAnsi="仿宋" w:cs="宋体" w:hint="eastAsia"/>
          <w:sz w:val="28"/>
          <w:szCs w:val="28"/>
        </w:rPr>
        <w:t>年底启动，</w:t>
      </w:r>
      <w:r w:rsidRPr="00E83D19">
        <w:rPr>
          <w:rFonts w:ascii="仿宋" w:eastAsia="仿宋" w:hAnsi="仿宋" w:cs="宋体" w:hint="eastAsia"/>
          <w:sz w:val="28"/>
          <w:szCs w:val="28"/>
        </w:rPr>
        <w:t>旨在运用并比较多种不同的能源、经济、环境模型，以十三五、十四五的近中期发展目标为实践节点，并探讨到2050年的低温室气体（包括非二氧化碳温室气体）排放发展的长期目标，构建符合中国技术的政策要求的低排放发展路径。</w:t>
      </w:r>
    </w:p>
    <w:p w14:paraId="3BFE91A3" w14:textId="77777777" w:rsidR="00C47611" w:rsidRPr="00E83D19" w:rsidRDefault="00C47611" w:rsidP="00C47611">
      <w:pPr>
        <w:pStyle w:val="af8"/>
        <w:ind w:firstLineChars="200" w:firstLine="560"/>
        <w:rPr>
          <w:rFonts w:ascii="仿宋" w:eastAsia="仿宋" w:hAnsi="仿宋" w:cs="宋体"/>
          <w:sz w:val="28"/>
          <w:szCs w:val="28"/>
        </w:rPr>
      </w:pPr>
      <w:r w:rsidRPr="00E83D19">
        <w:rPr>
          <w:rFonts w:ascii="仿宋" w:eastAsia="仿宋" w:hAnsi="仿宋" w:cs="宋体"/>
          <w:sz w:val="28"/>
          <w:szCs w:val="28"/>
        </w:rPr>
        <w:t>为实现研究目标，</w:t>
      </w:r>
      <w:r w:rsidRPr="00E83D19">
        <w:rPr>
          <w:rFonts w:ascii="仿宋" w:eastAsia="仿宋" w:hAnsi="仿宋" w:cs="宋体" w:hint="eastAsia"/>
          <w:sz w:val="28"/>
          <w:szCs w:val="28"/>
        </w:rPr>
        <w:t>CEMF</w:t>
      </w:r>
      <w:r w:rsidRPr="00E83D19">
        <w:rPr>
          <w:rFonts w:ascii="仿宋" w:eastAsia="仿宋" w:hAnsi="仿宋" w:cs="宋体"/>
          <w:sz w:val="28"/>
          <w:szCs w:val="28"/>
        </w:rPr>
        <w:t>委托</w:t>
      </w:r>
      <w:r w:rsidRPr="00E83D19">
        <w:rPr>
          <w:rFonts w:ascii="仿宋" w:eastAsia="仿宋" w:hAnsi="仿宋" w:cs="宋体" w:hint="eastAsia"/>
          <w:sz w:val="28"/>
          <w:szCs w:val="28"/>
        </w:rPr>
        <w:t>国内知名模型团队</w:t>
      </w:r>
      <w:r w:rsidRPr="00E83D19">
        <w:rPr>
          <w:rFonts w:ascii="仿宋" w:eastAsia="仿宋" w:hAnsi="仿宋" w:cs="宋体"/>
          <w:sz w:val="28"/>
          <w:szCs w:val="28"/>
        </w:rPr>
        <w:t>开展了相应研究，</w:t>
      </w:r>
      <w:r w:rsidRPr="00E83D19">
        <w:rPr>
          <w:rFonts w:ascii="仿宋" w:eastAsia="仿宋" w:hAnsi="仿宋" w:cs="宋体" w:hint="eastAsia"/>
          <w:sz w:val="28"/>
          <w:szCs w:val="28"/>
        </w:rPr>
        <w:t>包括</w:t>
      </w:r>
      <w:r w:rsidRPr="00E83D19">
        <w:rPr>
          <w:rFonts w:ascii="仿宋" w:eastAsia="仿宋" w:hAnsi="仿宋" w:cs="宋体"/>
          <w:sz w:val="28"/>
          <w:szCs w:val="28"/>
        </w:rPr>
        <w:t>：</w:t>
      </w:r>
    </w:p>
    <w:p w14:paraId="3025F3E8" w14:textId="77777777" w:rsidR="00C47611" w:rsidRDefault="00C47611" w:rsidP="00C47611">
      <w:pPr>
        <w:pStyle w:val="af8"/>
        <w:numPr>
          <w:ilvl w:val="0"/>
          <w:numId w:val="2"/>
        </w:numPr>
        <w:rPr>
          <w:rFonts w:ascii="仿宋" w:eastAsia="仿宋" w:hAnsi="仿宋" w:cs="宋体"/>
          <w:sz w:val="28"/>
          <w:szCs w:val="28"/>
        </w:rPr>
      </w:pPr>
      <w:r>
        <w:rPr>
          <w:rFonts w:ascii="仿宋" w:eastAsia="仿宋" w:hAnsi="仿宋" w:cs="宋体" w:hint="eastAsia"/>
          <w:sz w:val="28"/>
          <w:szCs w:val="28"/>
        </w:rPr>
        <w:t>宏观经济模型组。利用自上而下的宏观经济模型，分析和讨论2</w:t>
      </w:r>
      <w:r>
        <w:rPr>
          <w:rFonts w:ascii="仿宋" w:eastAsia="仿宋" w:hAnsi="仿宋" w:cs="宋体"/>
          <w:sz w:val="28"/>
          <w:szCs w:val="28"/>
        </w:rPr>
        <w:t>050</w:t>
      </w:r>
      <w:r>
        <w:rPr>
          <w:rFonts w:ascii="仿宋" w:eastAsia="仿宋" w:hAnsi="仿宋" w:cs="宋体" w:hint="eastAsia"/>
          <w:sz w:val="28"/>
          <w:szCs w:val="28"/>
        </w:rPr>
        <w:t>中国宏观经济情景。</w:t>
      </w:r>
    </w:p>
    <w:p w14:paraId="3B0ACF04" w14:textId="77777777" w:rsidR="00C47611" w:rsidRDefault="00C47611" w:rsidP="00C47611">
      <w:pPr>
        <w:pStyle w:val="af8"/>
        <w:numPr>
          <w:ilvl w:val="0"/>
          <w:numId w:val="2"/>
        </w:numPr>
        <w:rPr>
          <w:rFonts w:ascii="仿宋" w:eastAsia="仿宋" w:hAnsi="仿宋" w:cs="宋体"/>
          <w:sz w:val="28"/>
          <w:szCs w:val="28"/>
        </w:rPr>
      </w:pPr>
      <w:r>
        <w:rPr>
          <w:rFonts w:ascii="仿宋" w:eastAsia="仿宋" w:hAnsi="仿宋" w:cs="宋体" w:hint="eastAsia"/>
          <w:sz w:val="28"/>
          <w:szCs w:val="28"/>
        </w:rPr>
        <w:t>能源系统模型组。利用自下而上的能源系统模型，实现特定社会经济情景下能源供给与需求的平衡。</w:t>
      </w:r>
    </w:p>
    <w:p w14:paraId="28B4AE16" w14:textId="77777777" w:rsidR="00C47611" w:rsidRDefault="00C47611" w:rsidP="00C47611">
      <w:pPr>
        <w:pStyle w:val="af8"/>
        <w:numPr>
          <w:ilvl w:val="0"/>
          <w:numId w:val="2"/>
        </w:numPr>
        <w:rPr>
          <w:rFonts w:ascii="仿宋" w:eastAsia="仿宋" w:hAnsi="仿宋" w:cs="宋体"/>
          <w:sz w:val="28"/>
          <w:szCs w:val="28"/>
        </w:rPr>
      </w:pPr>
      <w:r>
        <w:rPr>
          <w:rFonts w:ascii="仿宋" w:eastAsia="仿宋" w:hAnsi="仿宋" w:cs="宋体" w:hint="eastAsia"/>
          <w:sz w:val="28"/>
          <w:szCs w:val="28"/>
        </w:rPr>
        <w:t>农业与土地利用组。具体分析农业温室气体排放和土地利用碳汇。</w:t>
      </w:r>
    </w:p>
    <w:p w14:paraId="36874F78" w14:textId="77777777" w:rsidR="00C47611" w:rsidRDefault="00C47611" w:rsidP="00C47611">
      <w:pPr>
        <w:pStyle w:val="af8"/>
        <w:numPr>
          <w:ilvl w:val="0"/>
          <w:numId w:val="2"/>
        </w:numPr>
        <w:rPr>
          <w:rFonts w:ascii="仿宋" w:eastAsia="仿宋" w:hAnsi="仿宋" w:cs="宋体"/>
          <w:sz w:val="28"/>
          <w:szCs w:val="28"/>
        </w:rPr>
      </w:pPr>
      <w:r>
        <w:rPr>
          <w:rFonts w:ascii="仿宋" w:eastAsia="仿宋" w:hAnsi="仿宋" w:cs="宋体" w:hint="eastAsia"/>
          <w:sz w:val="28"/>
          <w:szCs w:val="28"/>
        </w:rPr>
        <w:lastRenderedPageBreak/>
        <w:t>废弃物与非二氧化碳排放组。具体分析城市垃圾、其他废弃物、废水的温室气体排放，油气行业中产生的甲烷排放等。</w:t>
      </w:r>
    </w:p>
    <w:p w14:paraId="00008165" w14:textId="77777777" w:rsidR="00C47611" w:rsidRDefault="00C47611" w:rsidP="00C47611">
      <w:pPr>
        <w:pStyle w:val="af8"/>
        <w:numPr>
          <w:ilvl w:val="0"/>
          <w:numId w:val="2"/>
        </w:numPr>
        <w:rPr>
          <w:rFonts w:ascii="仿宋" w:eastAsia="仿宋" w:hAnsi="仿宋" w:cs="宋体"/>
          <w:sz w:val="28"/>
          <w:szCs w:val="28"/>
        </w:rPr>
      </w:pPr>
      <w:r>
        <w:rPr>
          <w:rFonts w:ascii="仿宋" w:eastAsia="仿宋" w:hAnsi="仿宋" w:cs="宋体" w:hint="eastAsia"/>
          <w:sz w:val="28"/>
          <w:szCs w:val="28"/>
        </w:rPr>
        <w:t>环境污染与健康组。具体分析大气环境、水环境、土壤污染和人体健康的关系。</w:t>
      </w:r>
    </w:p>
    <w:p w14:paraId="2E70A827" w14:textId="77777777" w:rsidR="00C47611" w:rsidRPr="00E83D19" w:rsidRDefault="00C47611" w:rsidP="00C47611">
      <w:pPr>
        <w:pStyle w:val="af8"/>
        <w:numPr>
          <w:ilvl w:val="0"/>
          <w:numId w:val="2"/>
        </w:numPr>
        <w:rPr>
          <w:rFonts w:ascii="仿宋" w:eastAsia="仿宋" w:hAnsi="仿宋" w:cs="宋体"/>
          <w:sz w:val="28"/>
          <w:szCs w:val="28"/>
        </w:rPr>
      </w:pPr>
      <w:r>
        <w:rPr>
          <w:rFonts w:ascii="仿宋" w:eastAsia="仿宋" w:hAnsi="仿宋" w:cs="宋体" w:hint="eastAsia"/>
          <w:sz w:val="28"/>
          <w:szCs w:val="28"/>
        </w:rPr>
        <w:t>气候变化与适应组。具体开展气候风险性评价，脆弱性评价及生态系统适应评价。</w:t>
      </w:r>
    </w:p>
    <w:p w14:paraId="32EFBD4E" w14:textId="77777777" w:rsidR="00C47611" w:rsidRPr="00E83D19" w:rsidRDefault="00C47611" w:rsidP="00C47611">
      <w:pPr>
        <w:pStyle w:val="af8"/>
        <w:ind w:firstLineChars="200" w:firstLine="560"/>
        <w:rPr>
          <w:rFonts w:ascii="仿宋" w:eastAsia="仿宋" w:hAnsi="仿宋" w:cs="宋体"/>
          <w:sz w:val="28"/>
          <w:szCs w:val="28"/>
        </w:rPr>
      </w:pPr>
      <w:r w:rsidRPr="00E83D19">
        <w:rPr>
          <w:rFonts w:ascii="仿宋" w:eastAsia="仿宋" w:hAnsi="仿宋" w:cs="宋体" w:hint="eastAsia"/>
          <w:sz w:val="28"/>
          <w:szCs w:val="28"/>
        </w:rPr>
        <w:t>本研究工作</w:t>
      </w:r>
      <w:r w:rsidRPr="00E83D19">
        <w:rPr>
          <w:rFonts w:ascii="仿宋" w:eastAsia="仿宋" w:hAnsi="仿宋" w:cs="宋体"/>
          <w:sz w:val="28"/>
          <w:szCs w:val="28"/>
        </w:rPr>
        <w:t>是在CEMF</w:t>
      </w:r>
      <w:r w:rsidRPr="00E83D19">
        <w:rPr>
          <w:rFonts w:ascii="仿宋" w:eastAsia="仿宋" w:hAnsi="仿宋" w:cs="宋体" w:hint="eastAsia"/>
          <w:sz w:val="28"/>
          <w:szCs w:val="28"/>
        </w:rPr>
        <w:t>学术委员会</w:t>
      </w:r>
      <w:r w:rsidRPr="00E83D19">
        <w:rPr>
          <w:rFonts w:ascii="仿宋" w:eastAsia="仿宋" w:hAnsi="仿宋" w:cs="宋体"/>
          <w:sz w:val="28"/>
          <w:szCs w:val="28"/>
        </w:rPr>
        <w:t>的指导下完成的，研究过程中，得到了来自</w:t>
      </w:r>
      <w:r w:rsidRPr="00E9344A">
        <w:rPr>
          <w:rFonts w:ascii="仿宋" w:eastAsia="仿宋" w:hAnsi="仿宋" w:cs="宋体" w:hint="eastAsia"/>
          <w:sz w:val="28"/>
          <w:szCs w:val="28"/>
          <w:highlight w:val="lightGray"/>
        </w:rPr>
        <w:t>清华大学</w:t>
      </w:r>
      <w:r w:rsidRPr="00E9344A">
        <w:rPr>
          <w:rFonts w:ascii="仿宋" w:eastAsia="仿宋" w:hAnsi="仿宋" w:cs="宋体"/>
          <w:sz w:val="28"/>
          <w:szCs w:val="28"/>
          <w:highlight w:val="lightGray"/>
        </w:rPr>
        <w:t>、</w:t>
      </w:r>
      <w:r>
        <w:rPr>
          <w:rFonts w:ascii="仿宋" w:eastAsia="仿宋" w:hAnsi="仿宋" w:cs="宋体" w:hint="eastAsia"/>
          <w:sz w:val="28"/>
          <w:szCs w:val="28"/>
          <w:highlight w:val="lightGray"/>
        </w:rPr>
        <w:t>北京大学、</w:t>
      </w:r>
      <w:r w:rsidRPr="00E9344A">
        <w:rPr>
          <w:rFonts w:ascii="仿宋" w:eastAsia="仿宋" w:hAnsi="仿宋" w:cs="宋体"/>
          <w:sz w:val="28"/>
          <w:szCs w:val="28"/>
          <w:highlight w:val="lightGray"/>
        </w:rPr>
        <w:t>中国农业科学研究院</w:t>
      </w:r>
      <w:r w:rsidRPr="00E9344A">
        <w:rPr>
          <w:rFonts w:ascii="仿宋" w:eastAsia="仿宋" w:hAnsi="仿宋" w:cs="宋体" w:hint="eastAsia"/>
          <w:sz w:val="28"/>
          <w:szCs w:val="28"/>
          <w:highlight w:val="lightGray"/>
        </w:rPr>
        <w:t>、国家发展和改革委员会能源研究所、国家应对气候变化战略中心、国家信息中心、国务院发展研究中心、</w:t>
      </w:r>
      <w:r w:rsidRPr="00E9344A">
        <w:rPr>
          <w:rFonts w:ascii="仿宋" w:eastAsia="仿宋" w:hAnsi="仿宋" w:cs="宋体"/>
          <w:sz w:val="28"/>
          <w:szCs w:val="28"/>
          <w:highlight w:val="lightGray"/>
        </w:rPr>
        <w:t>交通部科学研究院、中国环境科学研究院</w:t>
      </w:r>
      <w:r>
        <w:rPr>
          <w:rFonts w:ascii="仿宋" w:eastAsia="仿宋" w:hAnsi="仿宋" w:cs="宋体" w:hint="eastAsia"/>
          <w:sz w:val="28"/>
          <w:szCs w:val="28"/>
          <w:highlight w:val="lightGray"/>
        </w:rPr>
        <w:t>、生态环境部环境规划院</w:t>
      </w:r>
      <w:r w:rsidRPr="00E83D19">
        <w:rPr>
          <w:rFonts w:ascii="仿宋" w:eastAsia="仿宋" w:hAnsi="仿宋" w:cs="宋体"/>
          <w:sz w:val="28"/>
          <w:szCs w:val="28"/>
        </w:rPr>
        <w:t>等多家单位的专家学者的大力支持，</w:t>
      </w:r>
      <w:r w:rsidRPr="00E83D19">
        <w:rPr>
          <w:rFonts w:ascii="仿宋" w:eastAsia="仿宋" w:hAnsi="仿宋" w:cs="宋体" w:hint="eastAsia"/>
          <w:sz w:val="28"/>
          <w:szCs w:val="28"/>
        </w:rPr>
        <w:t>同时</w:t>
      </w:r>
      <w:r w:rsidRPr="00E83D19">
        <w:rPr>
          <w:rFonts w:ascii="仿宋" w:eastAsia="仿宋" w:hAnsi="仿宋" w:cs="宋体"/>
          <w:sz w:val="28"/>
          <w:szCs w:val="28"/>
        </w:rPr>
        <w:t>也离不开CEMF秘书处的协调工作。</w:t>
      </w:r>
    </w:p>
    <w:p w14:paraId="323E387F" w14:textId="77777777" w:rsidR="00C47611" w:rsidRPr="00E83D19" w:rsidRDefault="00C47611" w:rsidP="00C47611">
      <w:pPr>
        <w:pStyle w:val="af8"/>
        <w:ind w:firstLineChars="200" w:firstLine="560"/>
        <w:rPr>
          <w:rFonts w:ascii="仿宋" w:eastAsia="仿宋" w:hAnsi="仿宋" w:cs="宋体"/>
          <w:sz w:val="28"/>
          <w:szCs w:val="28"/>
        </w:rPr>
      </w:pPr>
      <w:r w:rsidRPr="00E83D19">
        <w:rPr>
          <w:rFonts w:ascii="仿宋" w:eastAsia="仿宋" w:hAnsi="仿宋" w:cs="宋体"/>
          <w:sz w:val="28"/>
          <w:szCs w:val="28"/>
        </w:rPr>
        <w:t>CEMF研究报告将陆续刊发CEMF02</w:t>
      </w:r>
      <w:r w:rsidRPr="00E83D19">
        <w:rPr>
          <w:rFonts w:ascii="仿宋" w:eastAsia="仿宋" w:hAnsi="仿宋" w:cs="宋体" w:hint="eastAsia"/>
          <w:sz w:val="28"/>
          <w:szCs w:val="28"/>
        </w:rPr>
        <w:t>各研究报告</w:t>
      </w:r>
      <w:r w:rsidRPr="00E83D19">
        <w:rPr>
          <w:rFonts w:ascii="仿宋" w:eastAsia="仿宋" w:hAnsi="仿宋" w:cs="宋体"/>
          <w:sz w:val="28"/>
          <w:szCs w:val="28"/>
        </w:rPr>
        <w:t>的摘要版本，</w:t>
      </w:r>
      <w:r w:rsidRPr="00E83D19">
        <w:rPr>
          <w:rFonts w:ascii="仿宋" w:eastAsia="仿宋" w:hAnsi="仿宋" w:cs="宋体" w:hint="eastAsia"/>
          <w:sz w:val="28"/>
          <w:szCs w:val="28"/>
        </w:rPr>
        <w:t>供</w:t>
      </w:r>
      <w:r w:rsidRPr="00E83D19">
        <w:rPr>
          <w:rFonts w:ascii="仿宋" w:eastAsia="仿宋" w:hAnsi="仿宋" w:cs="宋体"/>
          <w:sz w:val="28"/>
          <w:szCs w:val="28"/>
        </w:rPr>
        <w:t>读者参考。</w:t>
      </w:r>
      <w:r w:rsidRPr="00E83D19">
        <w:rPr>
          <w:rFonts w:ascii="仿宋" w:eastAsia="仿宋" w:hAnsi="仿宋" w:cs="宋体" w:hint="eastAsia"/>
          <w:sz w:val="28"/>
          <w:szCs w:val="28"/>
        </w:rPr>
        <w:t>如</w:t>
      </w:r>
      <w:r w:rsidRPr="00E83D19">
        <w:rPr>
          <w:rFonts w:ascii="仿宋" w:eastAsia="仿宋" w:hAnsi="仿宋" w:cs="宋体"/>
          <w:sz w:val="28"/>
          <w:szCs w:val="28"/>
        </w:rPr>
        <w:t>您对本</w:t>
      </w:r>
      <w:r w:rsidRPr="00E83D19">
        <w:rPr>
          <w:rFonts w:ascii="仿宋" w:eastAsia="仿宋" w:hAnsi="仿宋" w:cs="宋体" w:hint="eastAsia"/>
          <w:sz w:val="28"/>
          <w:szCs w:val="28"/>
        </w:rPr>
        <w:t>研究</w:t>
      </w:r>
      <w:r w:rsidRPr="00E83D19">
        <w:rPr>
          <w:rFonts w:ascii="仿宋" w:eastAsia="仿宋" w:hAnsi="仿宋" w:cs="宋体"/>
          <w:sz w:val="28"/>
          <w:szCs w:val="28"/>
        </w:rPr>
        <w:t>有咨询和建议，</w:t>
      </w:r>
      <w:hyperlink r:id="rId7" w:history="1">
        <w:r w:rsidRPr="00E83D19">
          <w:rPr>
            <w:rStyle w:val="af7"/>
            <w:rFonts w:ascii="仿宋" w:eastAsia="仿宋" w:hAnsi="仿宋" w:cs="宋体" w:hint="eastAsia"/>
            <w:sz w:val="28"/>
            <w:szCs w:val="28"/>
          </w:rPr>
          <w:t>请</w:t>
        </w:r>
        <w:r w:rsidRPr="00E83D19">
          <w:rPr>
            <w:rStyle w:val="af7"/>
            <w:rFonts w:ascii="仿宋" w:eastAsia="仿宋" w:hAnsi="仿宋" w:cs="宋体"/>
            <w:sz w:val="28"/>
            <w:szCs w:val="28"/>
          </w:rPr>
          <w:t>联系北京市清华大学公共管理615</w:t>
        </w:r>
        <w:r w:rsidRPr="00E83D19">
          <w:rPr>
            <w:rStyle w:val="af7"/>
            <w:rFonts w:ascii="仿宋" w:eastAsia="仿宋" w:hAnsi="仿宋" w:cs="宋体" w:hint="eastAsia"/>
            <w:sz w:val="28"/>
            <w:szCs w:val="28"/>
          </w:rPr>
          <w:t>室</w:t>
        </w:r>
        <w:r w:rsidRPr="00E83D19">
          <w:rPr>
            <w:rStyle w:val="af7"/>
            <w:rFonts w:ascii="仿宋" w:eastAsia="仿宋" w:hAnsi="仿宋" w:cs="宋体"/>
            <w:sz w:val="28"/>
            <w:szCs w:val="28"/>
          </w:rPr>
          <w:t>，</w:t>
        </w:r>
        <w:r w:rsidRPr="00E83D19">
          <w:rPr>
            <w:rStyle w:val="af7"/>
            <w:rFonts w:ascii="仿宋" w:eastAsia="仿宋" w:hAnsi="仿宋" w:cs="宋体" w:hint="eastAsia"/>
            <w:sz w:val="28"/>
            <w:szCs w:val="28"/>
          </w:rPr>
          <w:t>中国能源模型论坛</w:t>
        </w:r>
        <w:r w:rsidRPr="00E83D19">
          <w:rPr>
            <w:rStyle w:val="af7"/>
            <w:rFonts w:ascii="仿宋" w:eastAsia="仿宋" w:hAnsi="仿宋" w:cs="宋体"/>
            <w:sz w:val="28"/>
            <w:szCs w:val="28"/>
          </w:rPr>
          <w:t>（100084），</w:t>
        </w:r>
        <w:r w:rsidRPr="00E83D19">
          <w:rPr>
            <w:rStyle w:val="af7"/>
            <w:rFonts w:ascii="仿宋" w:eastAsia="仿宋" w:hAnsi="仿宋" w:cs="宋体" w:hint="eastAsia"/>
            <w:sz w:val="28"/>
            <w:szCs w:val="28"/>
          </w:rPr>
          <w:t>或发送</w:t>
        </w:r>
        <w:r w:rsidRPr="00E83D19">
          <w:rPr>
            <w:rStyle w:val="af7"/>
            <w:rFonts w:ascii="仿宋" w:eastAsia="仿宋" w:hAnsi="仿宋" w:cs="宋体"/>
            <w:sz w:val="28"/>
            <w:szCs w:val="28"/>
          </w:rPr>
          <w:t>邮件至cemf@tsinghua.edu.cn</w:t>
        </w:r>
      </w:hyperlink>
      <w:r w:rsidRPr="00E83D19">
        <w:rPr>
          <w:rFonts w:ascii="仿宋" w:eastAsia="仿宋" w:hAnsi="仿宋" w:cs="宋体"/>
          <w:sz w:val="28"/>
          <w:szCs w:val="28"/>
        </w:rPr>
        <w:t>。我们的官方网站是</w:t>
      </w:r>
      <w:hyperlink r:id="rId8" w:history="1">
        <w:r w:rsidRPr="00E83D19">
          <w:rPr>
            <w:rStyle w:val="af7"/>
            <w:rFonts w:ascii="仿宋" w:eastAsia="仿宋" w:hAnsi="仿宋" w:cs="宋体"/>
            <w:sz w:val="28"/>
            <w:szCs w:val="28"/>
          </w:rPr>
          <w:t>www.cemf.net.cn</w:t>
        </w:r>
      </w:hyperlink>
      <w:r w:rsidRPr="00E83D19">
        <w:rPr>
          <w:rFonts w:ascii="仿宋" w:eastAsia="仿宋" w:hAnsi="仿宋" w:cs="宋体"/>
          <w:sz w:val="28"/>
          <w:szCs w:val="28"/>
        </w:rPr>
        <w:t>。</w:t>
      </w:r>
    </w:p>
    <w:p w14:paraId="61E10BC3" w14:textId="77777777" w:rsidR="00C47611" w:rsidRDefault="00C47611" w:rsidP="009C0BF7">
      <w:pPr>
        <w:topLinePunct/>
        <w:adjustRightInd w:val="0"/>
        <w:ind w:firstLineChars="200" w:firstLine="643"/>
        <w:jc w:val="center"/>
        <w:rPr>
          <w:rFonts w:ascii="Times New Roman" w:eastAsia="宋体" w:hAnsi="Times New Roman" w:cs="Times New Roman"/>
          <w:b/>
          <w:color w:val="000000"/>
          <w:kern w:val="21"/>
          <w:sz w:val="32"/>
          <w:szCs w:val="21"/>
        </w:rPr>
        <w:sectPr w:rsidR="00C47611">
          <w:pgSz w:w="11906" w:h="16838"/>
          <w:pgMar w:top="1440" w:right="1800" w:bottom="1440" w:left="1800" w:header="851" w:footer="992" w:gutter="0"/>
          <w:cols w:space="425"/>
          <w:docGrid w:type="lines" w:linePitch="312"/>
        </w:sectPr>
      </w:pPr>
    </w:p>
    <w:p w14:paraId="1CC5304B" w14:textId="77777777" w:rsidR="009C0BF7" w:rsidRPr="009C0BF7" w:rsidRDefault="009C0BF7" w:rsidP="00A42DC2">
      <w:pPr>
        <w:keepNext/>
        <w:keepLines/>
        <w:widowControl/>
        <w:topLinePunct/>
        <w:adjustRightInd w:val="0"/>
        <w:spacing w:line="720" w:lineRule="auto"/>
        <w:ind w:firstLine="425"/>
        <w:jc w:val="center"/>
        <w:outlineLvl w:val="2"/>
        <w:rPr>
          <w:rFonts w:ascii="Arial" w:eastAsia="汉仪大宋简" w:hAnsi="Arial" w:cs="Times New Roman"/>
          <w:color w:val="007DB6"/>
          <w:kern w:val="24"/>
          <w:sz w:val="24"/>
          <w:szCs w:val="24"/>
        </w:rPr>
      </w:pPr>
      <w:bookmarkStart w:id="3" w:name="_Toc513794772"/>
      <w:bookmarkEnd w:id="1"/>
      <w:r w:rsidRPr="009C0BF7">
        <w:rPr>
          <w:rFonts w:ascii="Arial" w:eastAsia="汉仪大宋简" w:hAnsi="Arial" w:cs="Times New Roman"/>
          <w:color w:val="007DB6"/>
          <w:kern w:val="24"/>
          <w:sz w:val="24"/>
          <w:szCs w:val="24"/>
        </w:rPr>
        <w:lastRenderedPageBreak/>
        <w:t>一、</w:t>
      </w:r>
      <w:bookmarkEnd w:id="3"/>
      <w:r>
        <w:rPr>
          <w:rFonts w:ascii="Arial" w:eastAsia="汉仪大宋简" w:hAnsi="Arial" w:cs="Times New Roman" w:hint="eastAsia"/>
          <w:color w:val="007DB6"/>
          <w:kern w:val="24"/>
          <w:sz w:val="24"/>
          <w:szCs w:val="24"/>
        </w:rPr>
        <w:t>引言</w:t>
      </w:r>
    </w:p>
    <w:p w14:paraId="53DA6764" w14:textId="7D160976" w:rsidR="00C17607" w:rsidRDefault="00C17607" w:rsidP="0025337A">
      <w:pPr>
        <w:ind w:firstLineChars="200" w:firstLine="420"/>
      </w:pPr>
      <w:r w:rsidRPr="00C17607">
        <w:rPr>
          <w:rFonts w:hint="eastAsia"/>
        </w:rPr>
        <w:t>碳排放权交易市场</w:t>
      </w:r>
      <w:r w:rsidR="00807835">
        <w:rPr>
          <w:rFonts w:hint="eastAsia"/>
        </w:rPr>
        <w:t>的</w:t>
      </w:r>
      <w:r w:rsidR="00807835" w:rsidRPr="00C17607">
        <w:rPr>
          <w:rFonts w:hint="eastAsia"/>
        </w:rPr>
        <w:t>建立</w:t>
      </w:r>
      <w:r w:rsidRPr="00C17607">
        <w:rPr>
          <w:rFonts w:hint="eastAsia"/>
        </w:rPr>
        <w:t>，是利用市场机制控制温室气体排放的重大举措，也是深化生态文明体制改革的迫切需要，有利于降低全社会减排成本</w:t>
      </w:r>
      <w:r w:rsidR="00C733BA">
        <w:rPr>
          <w:rFonts w:hint="eastAsia"/>
        </w:rPr>
        <w:t>、</w:t>
      </w:r>
      <w:r w:rsidRPr="00C17607">
        <w:rPr>
          <w:rFonts w:hint="eastAsia"/>
        </w:rPr>
        <w:t>推动经济向绿色低碳转型升级</w:t>
      </w:r>
      <w:r w:rsidRPr="00C17607">
        <w:fldChar w:fldCharType="begin"/>
      </w:r>
      <w:r w:rsidR="0025337A">
        <w:instrText xml:space="preserve"> ADDIN EN.CITE &lt;EndNote&gt;&lt;Cite&gt;&lt;Author&gt;国家发展改革委&lt;/Author&gt;&lt;Year&gt;2017&lt;/Year&gt;&lt;RecNum&gt;3&lt;/RecNum&gt;&lt;DisplayText&gt;&lt;style face="superscript"&gt;[1]&lt;/style&gt;&lt;/DisplayText&gt;&lt;record&gt;&lt;rec-number&gt;3&lt;/rec-number&gt;&lt;foreign-keys&gt;&lt;key app="EN" db-id="sevrsxwr79dvemevep95sf9d529t5ede2vd9" timestamp="1567750350"&gt;3&lt;/key&gt;&lt;/foreign-keys&gt;&lt;ref-type name="Government Document"&gt;46&lt;/ref-type&gt;&lt;contributors&gt;&lt;authors&gt;&lt;author&gt;&lt;style face="normal" font="default" charset="134" size="100%"&gt;国家发展改革委&lt;/style&gt;&lt;/author&gt;&lt;/authors&gt;&lt;/contributors&gt;&lt;titles&gt;&lt;title&gt;&lt;style face="normal" font="default" charset="134" size="100%"&gt;全国碳排放权交易市场建设方案（发电行业）&lt;/style&gt;&lt;/title&gt;&lt;/titles&gt;&lt;volume&gt;&lt;style face="normal" font="default" charset="134" size="100%"&gt;发改气候规〔&lt;/style&gt;&lt;style face="normal" font="default" size="100%"&gt;2017&lt;/style&gt;&lt;style face="normal" font="default" charset="134" size="100%"&gt;〕&lt;/style&gt;&lt;style face="normal" font="default" size="100%"&gt;2191&lt;/style&gt;&lt;style face="normal" font="default" charset="134" size="100%"&gt;号&lt;/style&gt;&lt;/volume&gt;&lt;dates&gt;&lt;year&gt;2017&lt;/year&gt;&lt;/dates&gt;&lt;urls&gt;&lt;related-urls&gt;&lt;url&gt;http://www.ndrc.gov.cn/zcfb/gfxwj/201712/t20171220_871127.html&lt;/url&gt;&lt;/related-urls&gt;&lt;/urls&gt;&lt;/record&gt;&lt;/Cite&gt;&lt;/EndNote&gt;</w:instrText>
      </w:r>
      <w:r w:rsidRPr="00C17607">
        <w:fldChar w:fldCharType="separate"/>
      </w:r>
      <w:r w:rsidR="0025337A" w:rsidRPr="0025337A">
        <w:rPr>
          <w:noProof/>
          <w:vertAlign w:val="superscript"/>
        </w:rPr>
        <w:t>[1]</w:t>
      </w:r>
      <w:r w:rsidRPr="00C17607">
        <w:fldChar w:fldCharType="end"/>
      </w:r>
      <w:r w:rsidRPr="00C17607">
        <w:rPr>
          <w:rFonts w:hint="eastAsia"/>
        </w:rPr>
        <w:t>。</w:t>
      </w:r>
      <w:r w:rsidR="0025337A" w:rsidRPr="00C17607">
        <w:rPr>
          <w:rFonts w:hint="eastAsia"/>
        </w:rPr>
        <w:t>经过</w:t>
      </w:r>
      <w:r w:rsidR="003418AD">
        <w:rPr>
          <w:rFonts w:hint="eastAsia"/>
        </w:rPr>
        <w:t>包括上海市和广东省在内的</w:t>
      </w:r>
      <w:r w:rsidR="0025337A" w:rsidRPr="00C17607">
        <w:rPr>
          <w:rFonts w:hint="eastAsia"/>
        </w:rPr>
        <w:t>7个试点碳市场几年的试运行，2</w:t>
      </w:r>
      <w:r w:rsidR="0025337A" w:rsidRPr="00C17607">
        <w:t>017</w:t>
      </w:r>
      <w:r w:rsidR="0025337A" w:rsidRPr="00C17607">
        <w:rPr>
          <w:rFonts w:hint="eastAsia"/>
        </w:rPr>
        <w:t>年1</w:t>
      </w:r>
      <w:r w:rsidR="0025337A" w:rsidRPr="00C17607">
        <w:t>2</w:t>
      </w:r>
      <w:r w:rsidR="0025337A" w:rsidRPr="00C17607">
        <w:rPr>
          <w:rFonts w:hint="eastAsia"/>
        </w:rPr>
        <w:t>月，中国碳排放权交易体系正式开始全国统一运行，在发电行业（含热电联产）率先启动，</w:t>
      </w:r>
      <w:r w:rsidR="00173E89">
        <w:rPr>
          <w:rFonts w:hint="eastAsia"/>
        </w:rPr>
        <w:t>未来将</w:t>
      </w:r>
      <w:r w:rsidR="0025337A" w:rsidRPr="00C17607">
        <w:rPr>
          <w:rFonts w:hint="eastAsia"/>
        </w:rPr>
        <w:t>逐步扩大参与碳市场的行业范围，增加交易品种。</w:t>
      </w:r>
    </w:p>
    <w:p w14:paraId="7CBD3F5E" w14:textId="0A280D75" w:rsidR="00160544" w:rsidRPr="00160544" w:rsidRDefault="00160544" w:rsidP="003418AD">
      <w:pPr>
        <w:ind w:firstLineChars="200" w:firstLine="420"/>
      </w:pPr>
      <w:bookmarkStart w:id="4" w:name="_Hlk18676407"/>
      <w:r w:rsidRPr="00160544">
        <w:rPr>
          <w:rFonts w:hint="eastAsia"/>
        </w:rPr>
        <w:t>本研究通过应用北京大学能源环境经济与政策研究室</w:t>
      </w:r>
      <w:r w:rsidRPr="00160544">
        <w:rPr>
          <w:vertAlign w:val="superscript"/>
        </w:rPr>
        <w:footnoteReference w:id="1"/>
      </w:r>
      <w:r w:rsidRPr="00160544">
        <w:rPr>
          <w:rFonts w:hint="eastAsia"/>
        </w:rPr>
        <w:t>（</w:t>
      </w:r>
      <w:bookmarkStart w:id="5" w:name="OLE_LINK2"/>
      <w:r w:rsidRPr="00160544">
        <w:t>The Laboratory of Energy &amp; Environmental Economics and Policy</w:t>
      </w:r>
      <w:r w:rsidR="009E1ADC">
        <w:t>，</w:t>
      </w:r>
      <w:r w:rsidRPr="00160544">
        <w:t xml:space="preserve"> LEEEP</w:t>
      </w:r>
      <w:bookmarkEnd w:id="5"/>
      <w:r w:rsidRPr="00160544">
        <w:rPr>
          <w:rFonts w:hint="eastAsia"/>
        </w:rPr>
        <w:t>）开发的I</w:t>
      </w:r>
      <w:r w:rsidRPr="00160544">
        <w:t>MED|CGE</w:t>
      </w:r>
      <w:r w:rsidRPr="00160544">
        <w:rPr>
          <w:vertAlign w:val="superscript"/>
        </w:rPr>
        <w:footnoteReference w:id="2"/>
      </w:r>
      <w:r w:rsidRPr="00160544">
        <w:rPr>
          <w:rFonts w:hint="eastAsia"/>
        </w:rPr>
        <w:t>（</w:t>
      </w:r>
      <w:r w:rsidRPr="00160544">
        <w:t>Integrated Model of Energy</w:t>
      </w:r>
      <w:r w:rsidR="009E1ADC">
        <w:t>，</w:t>
      </w:r>
      <w:r w:rsidRPr="00160544">
        <w:t xml:space="preserve"> Environment and Economy for Sustainable Development</w:t>
      </w:r>
      <w:r w:rsidR="009E1ADC">
        <w:t>，</w:t>
      </w:r>
      <w:r w:rsidRPr="00160544">
        <w:t xml:space="preserve"> IMED</w:t>
      </w:r>
      <w:r w:rsidRPr="00160544">
        <w:rPr>
          <w:rFonts w:hint="eastAsia"/>
        </w:rPr>
        <w:t>）模型，</w:t>
      </w:r>
      <w:r w:rsidR="003418AD" w:rsidRPr="003418AD">
        <w:rPr>
          <w:rFonts w:hint="eastAsia"/>
        </w:rPr>
        <w:t>选取我国经济活跃、人口密度大以及能源消耗大的上海市和广东省作为案例</w:t>
      </w:r>
      <w:r w:rsidR="003418AD">
        <w:rPr>
          <w:rFonts w:hint="eastAsia"/>
        </w:rPr>
        <w:t>，</w:t>
      </w:r>
      <w:r w:rsidRPr="00160544">
        <w:rPr>
          <w:rFonts w:hint="eastAsia"/>
        </w:rPr>
        <w:t>构建上海市和广东省C</w:t>
      </w:r>
      <w:r w:rsidRPr="00160544">
        <w:t>GE</w:t>
      </w:r>
      <w:r w:rsidRPr="00160544">
        <w:rPr>
          <w:rFonts w:hint="eastAsia"/>
        </w:rPr>
        <w:t>模型，</w:t>
      </w:r>
      <w:bookmarkEnd w:id="4"/>
      <w:r w:rsidRPr="00160544">
        <w:rPr>
          <w:rFonts w:hint="eastAsia"/>
        </w:rPr>
        <w:t>量化2</w:t>
      </w:r>
      <w:r w:rsidRPr="00160544">
        <w:t>030</w:t>
      </w:r>
      <w:r w:rsidRPr="00160544">
        <w:rPr>
          <w:rFonts w:hint="eastAsia"/>
        </w:rPr>
        <w:t>年在实现我国N</w:t>
      </w:r>
      <w:r w:rsidRPr="00160544">
        <w:t>DC</w:t>
      </w:r>
      <w:r w:rsidR="00FA46F5">
        <w:rPr>
          <w:rFonts w:hint="eastAsia"/>
        </w:rPr>
        <w:t>自主</w:t>
      </w:r>
      <w:r w:rsidRPr="00160544">
        <w:rPr>
          <w:rFonts w:hint="eastAsia"/>
        </w:rPr>
        <w:t>减排目标背景下，部门层面碳排放交易对上海和广东的经济影响。</w:t>
      </w:r>
      <w:r w:rsidRPr="00160544">
        <w:t xml:space="preserve"> </w:t>
      </w:r>
    </w:p>
    <w:p w14:paraId="0334E367" w14:textId="269F8A7B" w:rsidR="009C0BF7" w:rsidRPr="009C0BF7" w:rsidRDefault="009C0BF7" w:rsidP="00A42DC2">
      <w:pPr>
        <w:keepNext/>
        <w:keepLines/>
        <w:widowControl/>
        <w:topLinePunct/>
        <w:adjustRightInd w:val="0"/>
        <w:spacing w:line="720" w:lineRule="auto"/>
        <w:ind w:firstLine="425"/>
        <w:jc w:val="center"/>
        <w:outlineLvl w:val="2"/>
        <w:rPr>
          <w:rFonts w:ascii="Arial" w:eastAsia="汉仪大宋简" w:hAnsi="Arial" w:cs="Times New Roman"/>
          <w:color w:val="007DB6"/>
          <w:kern w:val="24"/>
          <w:sz w:val="24"/>
          <w:szCs w:val="24"/>
        </w:rPr>
      </w:pPr>
      <w:r>
        <w:rPr>
          <w:rFonts w:ascii="Arial" w:eastAsia="汉仪大宋简" w:hAnsi="Arial" w:cs="Times New Roman" w:hint="eastAsia"/>
          <w:color w:val="007DB6"/>
          <w:kern w:val="24"/>
          <w:sz w:val="24"/>
          <w:szCs w:val="24"/>
        </w:rPr>
        <w:t>二</w:t>
      </w:r>
      <w:r w:rsidRPr="009C0BF7">
        <w:rPr>
          <w:rFonts w:ascii="Arial" w:eastAsia="汉仪大宋简" w:hAnsi="Arial" w:cs="Times New Roman"/>
          <w:color w:val="007DB6"/>
          <w:kern w:val="24"/>
          <w:sz w:val="24"/>
          <w:szCs w:val="24"/>
        </w:rPr>
        <w:t>、</w:t>
      </w:r>
      <w:r w:rsidR="002562DA">
        <w:rPr>
          <w:rFonts w:ascii="Arial" w:eastAsia="汉仪大宋简" w:hAnsi="Arial" w:cs="Times New Roman" w:hint="eastAsia"/>
          <w:color w:val="007DB6"/>
          <w:kern w:val="24"/>
          <w:sz w:val="24"/>
          <w:szCs w:val="24"/>
        </w:rPr>
        <w:t>情景设置</w:t>
      </w:r>
    </w:p>
    <w:p w14:paraId="66976700" w14:textId="60E0C5D6" w:rsidR="00537BFE" w:rsidRDefault="00537BFE" w:rsidP="003418AD">
      <w:pPr>
        <w:ind w:firstLineChars="200" w:firstLine="420"/>
      </w:pPr>
      <w:bookmarkStart w:id="6" w:name="OLE_LINK4"/>
      <w:r w:rsidRPr="003418AD">
        <w:rPr>
          <w:rFonts w:hint="eastAsia"/>
        </w:rPr>
        <w:t>为探究碳限制（C</w:t>
      </w:r>
      <w:r w:rsidRPr="003418AD">
        <w:t>AP</w:t>
      </w:r>
      <w:r w:rsidRPr="003418AD">
        <w:rPr>
          <w:rFonts w:hint="eastAsia"/>
        </w:rPr>
        <w:t>）和碳交易对上海社会经济发展的影响，本研究设置了三个情景：</w:t>
      </w:r>
      <w:r>
        <w:rPr>
          <w:rFonts w:hint="eastAsia"/>
        </w:rPr>
        <w:t>没有碳排放限额的</w:t>
      </w:r>
      <w:r w:rsidRPr="00FD6225">
        <w:rPr>
          <w:rFonts w:hint="eastAsia"/>
          <w:b/>
          <w:bCs/>
        </w:rPr>
        <w:t>基准情景</w:t>
      </w:r>
      <w:r w:rsidRPr="003418AD">
        <w:rPr>
          <w:rFonts w:hint="eastAsia"/>
        </w:rPr>
        <w:t>（</w:t>
      </w:r>
      <w:r w:rsidRPr="003418AD">
        <w:t>Business as Usual</w:t>
      </w:r>
      <w:r>
        <w:t>，</w:t>
      </w:r>
      <w:r w:rsidRPr="003418AD">
        <w:t xml:space="preserve"> BaU</w:t>
      </w:r>
      <w:r w:rsidRPr="003418AD">
        <w:rPr>
          <w:rFonts w:hint="eastAsia"/>
        </w:rPr>
        <w:t>）、</w:t>
      </w:r>
      <w:r>
        <w:rPr>
          <w:rFonts w:hint="eastAsia"/>
        </w:rPr>
        <w:t>N</w:t>
      </w:r>
      <w:r>
        <w:t>DC</w:t>
      </w:r>
      <w:r>
        <w:rPr>
          <w:rFonts w:hint="eastAsia"/>
        </w:rPr>
        <w:t>目标下有碳排放限额但不允许交易的</w:t>
      </w:r>
      <w:r w:rsidR="00FB546C" w:rsidRPr="00FB546C">
        <w:rPr>
          <w:rFonts w:hint="eastAsia"/>
          <w:b/>
          <w:bCs/>
        </w:rPr>
        <w:t>碳</w:t>
      </w:r>
      <w:r w:rsidRPr="00FD6225">
        <w:rPr>
          <w:rFonts w:hint="eastAsia"/>
          <w:b/>
          <w:bCs/>
        </w:rPr>
        <w:t>限额情景</w:t>
      </w:r>
      <w:r w:rsidRPr="003418AD">
        <w:rPr>
          <w:rFonts w:hint="eastAsia"/>
        </w:rPr>
        <w:t>（</w:t>
      </w:r>
      <w:r w:rsidRPr="003418AD">
        <w:t>Carbon Cap</w:t>
      </w:r>
      <w:r>
        <w:t>，</w:t>
      </w:r>
      <w:r w:rsidRPr="003418AD">
        <w:t xml:space="preserve"> CAP</w:t>
      </w:r>
      <w:r w:rsidRPr="003418AD">
        <w:rPr>
          <w:rFonts w:hint="eastAsia"/>
        </w:rPr>
        <w:t>）和</w:t>
      </w:r>
      <w:r>
        <w:rPr>
          <w:rFonts w:hint="eastAsia"/>
        </w:rPr>
        <w:t>N</w:t>
      </w:r>
      <w:r>
        <w:t>DC</w:t>
      </w:r>
      <w:r>
        <w:rPr>
          <w:rFonts w:hint="eastAsia"/>
        </w:rPr>
        <w:t>目标下有碳排放限额同时允许交易的</w:t>
      </w:r>
      <w:r w:rsidRPr="00FB546C">
        <w:rPr>
          <w:rFonts w:hint="eastAsia"/>
          <w:b/>
          <w:bCs/>
        </w:rPr>
        <w:t>碳</w:t>
      </w:r>
      <w:r w:rsidRPr="00FD6225">
        <w:rPr>
          <w:rFonts w:hint="eastAsia"/>
          <w:b/>
          <w:bCs/>
        </w:rPr>
        <w:t>交易情景</w:t>
      </w:r>
      <w:r w:rsidRPr="003418AD">
        <w:rPr>
          <w:rFonts w:hint="eastAsia"/>
        </w:rPr>
        <w:t>（</w:t>
      </w:r>
      <w:r w:rsidRPr="003418AD">
        <w:t>Emission Trading Scheme</w:t>
      </w:r>
      <w:r w:rsidR="003E425F">
        <w:rPr>
          <w:rFonts w:hint="eastAsia"/>
        </w:rPr>
        <w:t>，</w:t>
      </w:r>
      <w:r w:rsidRPr="003418AD">
        <w:t>ETS</w:t>
      </w:r>
      <w:r w:rsidRPr="003418AD">
        <w:rPr>
          <w:rFonts w:hint="eastAsia"/>
        </w:rPr>
        <w:t>）。</w:t>
      </w:r>
    </w:p>
    <w:p w14:paraId="52320E53" w14:textId="70B994BD" w:rsidR="00537BFE" w:rsidRPr="003E425F" w:rsidRDefault="00570139" w:rsidP="00510E76">
      <w:pPr>
        <w:ind w:firstLineChars="200" w:firstLine="420"/>
      </w:pPr>
      <w:r>
        <w:rPr>
          <w:rFonts w:hint="eastAsia"/>
        </w:rPr>
        <w:t>对于广东省，在</w:t>
      </w:r>
      <w:r w:rsidR="007D626C">
        <w:rPr>
          <w:rFonts w:hint="eastAsia"/>
        </w:rPr>
        <w:t>上面情景设置的</w:t>
      </w:r>
      <w:r>
        <w:rPr>
          <w:rFonts w:hint="eastAsia"/>
        </w:rPr>
        <w:t>基础上，增加了对</w:t>
      </w:r>
      <w:r w:rsidR="00537BFE" w:rsidRPr="00F669D8">
        <w:rPr>
          <w:rFonts w:hint="eastAsia"/>
          <w:b/>
          <w:bCs/>
        </w:rPr>
        <w:t>不同的碳配额分配方式</w:t>
      </w:r>
      <w:r>
        <w:rPr>
          <w:rFonts w:hint="eastAsia"/>
        </w:rPr>
        <w:t>的</w:t>
      </w:r>
      <w:r w:rsidR="007D626C">
        <w:rPr>
          <w:rFonts w:hint="eastAsia"/>
        </w:rPr>
        <w:t>探讨，</w:t>
      </w:r>
      <w:r w:rsidR="00537BFE" w:rsidRPr="00F669D8">
        <w:rPr>
          <w:rFonts w:hint="eastAsia"/>
        </w:rPr>
        <w:t>进一步将</w:t>
      </w:r>
      <w:r w:rsidR="003E425F">
        <w:rPr>
          <w:rFonts w:hint="eastAsia"/>
        </w:rPr>
        <w:t>减排</w:t>
      </w:r>
      <w:r w:rsidR="00537BFE" w:rsidRPr="00F669D8">
        <w:rPr>
          <w:rFonts w:hint="eastAsia"/>
        </w:rPr>
        <w:t>情景</w:t>
      </w:r>
      <w:r w:rsidR="00510E76">
        <w:rPr>
          <w:rFonts w:hint="eastAsia"/>
        </w:rPr>
        <w:t>根据不同的碳配额分配方法</w:t>
      </w:r>
      <w:r w:rsidR="00537BFE" w:rsidRPr="00F669D8">
        <w:rPr>
          <w:rFonts w:hint="eastAsia"/>
        </w:rPr>
        <w:t>分为S</w:t>
      </w:r>
      <w:r w:rsidR="00537BFE" w:rsidRPr="00F669D8">
        <w:t>HR07</w:t>
      </w:r>
      <w:r w:rsidR="00537BFE" w:rsidRPr="00F669D8">
        <w:rPr>
          <w:rFonts w:hint="eastAsia"/>
        </w:rPr>
        <w:t>和S</w:t>
      </w:r>
      <w:r w:rsidR="00537BFE" w:rsidRPr="00F669D8">
        <w:t>HRbau</w:t>
      </w:r>
      <w:r w:rsidR="00537BFE" w:rsidRPr="00F669D8">
        <w:rPr>
          <w:rFonts w:hint="eastAsia"/>
        </w:rPr>
        <w:t>。</w:t>
      </w:r>
      <w:r w:rsidR="00537BFE" w:rsidRPr="00F669D8">
        <w:t>SHR07</w:t>
      </w:r>
      <w:r w:rsidR="00537BFE" w:rsidRPr="00F669D8">
        <w:rPr>
          <w:rFonts w:hint="eastAsia"/>
        </w:rPr>
        <w:t>指各个部门</w:t>
      </w:r>
      <w:r w:rsidR="00537BFE" w:rsidRPr="00F669D8">
        <w:t>的初始配额是根据2007年基准年历史数据中排放量的比例分配的</w:t>
      </w:r>
      <w:r w:rsidR="00537BFE" w:rsidRPr="00F669D8">
        <w:rPr>
          <w:rFonts w:hint="eastAsia"/>
        </w:rPr>
        <w:t>，</w:t>
      </w:r>
      <w:r w:rsidR="00537BFE" w:rsidRPr="00F669D8">
        <w:t>是一种相对静态的分配方式，类似于历史法</w:t>
      </w:r>
      <w:r w:rsidR="007A5EA6">
        <w:rPr>
          <w:rFonts w:hint="eastAsia"/>
        </w:rPr>
        <w:t>；</w:t>
      </w:r>
      <w:r w:rsidR="00537BFE" w:rsidRPr="00F669D8">
        <w:t>SHRbau指每个部门的初始配额是根据BaU情景下每年预测数据中排放量所占的比例来分配的</w:t>
      </w:r>
      <w:r w:rsidR="003E425F">
        <w:rPr>
          <w:rFonts w:hint="eastAsia"/>
        </w:rPr>
        <w:t>，</w:t>
      </w:r>
      <w:r w:rsidR="00537BFE" w:rsidRPr="00F669D8">
        <w:t>是一种动态分配方法，考虑到</w:t>
      </w:r>
      <w:r w:rsidR="00537BFE" w:rsidRPr="00F669D8">
        <w:rPr>
          <w:rFonts w:hint="eastAsia"/>
        </w:rPr>
        <w:t>了</w:t>
      </w:r>
      <w:r w:rsidR="00537BFE" w:rsidRPr="00F669D8">
        <w:t>各部门未来的排放情况。</w:t>
      </w:r>
      <w:r w:rsidR="007A5EA6">
        <w:rPr>
          <w:rFonts w:hint="eastAsia"/>
        </w:rPr>
        <w:t>因此，一共包括基准情景（Ba</w:t>
      </w:r>
      <w:r w:rsidR="007A5EA6">
        <w:t>U</w:t>
      </w:r>
      <w:r w:rsidR="007A5EA6">
        <w:rPr>
          <w:rFonts w:hint="eastAsia"/>
        </w:rPr>
        <w:t>）、静态分配碳限额情景（C</w:t>
      </w:r>
      <w:r w:rsidR="007A5EA6">
        <w:t>AP SHR07</w:t>
      </w:r>
      <w:r w:rsidR="007A5EA6">
        <w:rPr>
          <w:rFonts w:hint="eastAsia"/>
        </w:rPr>
        <w:t>）、动态分配碳限额情景（C</w:t>
      </w:r>
      <w:r w:rsidR="007A5EA6">
        <w:t>AP SHR</w:t>
      </w:r>
      <w:r w:rsidR="000D63C6">
        <w:rPr>
          <w:rFonts w:hint="eastAsia"/>
        </w:rPr>
        <w:t>bau</w:t>
      </w:r>
      <w:r w:rsidR="007A5EA6">
        <w:rPr>
          <w:rFonts w:hint="eastAsia"/>
        </w:rPr>
        <w:t>）</w:t>
      </w:r>
      <w:r w:rsidR="003E425F">
        <w:rPr>
          <w:rFonts w:hint="eastAsia"/>
        </w:rPr>
        <w:t>、静态分配碳交易情景（</w:t>
      </w:r>
      <w:r w:rsidR="003E425F">
        <w:t>ET SHR07</w:t>
      </w:r>
      <w:r w:rsidR="003E425F">
        <w:rPr>
          <w:rFonts w:hint="eastAsia"/>
        </w:rPr>
        <w:t>）、动态分配碳交易情景（</w:t>
      </w:r>
      <w:r w:rsidR="003E425F">
        <w:t>ET SHR</w:t>
      </w:r>
      <w:r w:rsidR="000D63C6">
        <w:rPr>
          <w:rFonts w:hint="eastAsia"/>
        </w:rPr>
        <w:t>bau</w:t>
      </w:r>
      <w:r w:rsidR="003E425F">
        <w:rPr>
          <w:rFonts w:hint="eastAsia"/>
        </w:rPr>
        <w:t>）五个情景。</w:t>
      </w:r>
    </w:p>
    <w:p w14:paraId="655C6A68" w14:textId="77777777" w:rsidR="00537BFE" w:rsidRPr="009C0BF7" w:rsidRDefault="00537BFE" w:rsidP="002562DA">
      <w:pPr>
        <w:keepNext/>
        <w:keepLines/>
        <w:widowControl/>
        <w:topLinePunct/>
        <w:adjustRightInd w:val="0"/>
        <w:spacing w:line="720" w:lineRule="auto"/>
        <w:ind w:firstLine="425"/>
        <w:outlineLvl w:val="2"/>
        <w:rPr>
          <w:rFonts w:ascii="Arial" w:eastAsia="汉仪大宋简" w:hAnsi="Arial" w:cs="Times New Roman"/>
          <w:color w:val="007DB6"/>
          <w:kern w:val="24"/>
          <w:sz w:val="24"/>
          <w:szCs w:val="24"/>
        </w:rPr>
      </w:pPr>
      <w:r>
        <w:rPr>
          <w:rFonts w:ascii="Arial" w:eastAsia="汉仪大宋简" w:hAnsi="Arial" w:cs="Times New Roman" w:hint="eastAsia"/>
          <w:color w:val="007DB6"/>
          <w:kern w:val="24"/>
          <w:sz w:val="24"/>
          <w:szCs w:val="24"/>
        </w:rPr>
        <w:lastRenderedPageBreak/>
        <w:t>三</w:t>
      </w:r>
      <w:r w:rsidRPr="009C0BF7">
        <w:rPr>
          <w:rFonts w:ascii="Arial" w:eastAsia="汉仪大宋简" w:hAnsi="Arial" w:cs="Times New Roman"/>
          <w:color w:val="007DB6"/>
          <w:kern w:val="24"/>
          <w:sz w:val="24"/>
          <w:szCs w:val="24"/>
        </w:rPr>
        <w:t>、</w:t>
      </w:r>
      <w:r>
        <w:rPr>
          <w:rFonts w:ascii="Arial" w:eastAsia="汉仪大宋简" w:hAnsi="Arial" w:cs="Times New Roman" w:hint="eastAsia"/>
          <w:color w:val="007DB6"/>
          <w:kern w:val="24"/>
          <w:sz w:val="24"/>
          <w:szCs w:val="24"/>
        </w:rPr>
        <w:t>结果与讨论</w:t>
      </w:r>
    </w:p>
    <w:bookmarkEnd w:id="6"/>
    <w:p w14:paraId="57D3FFA5" w14:textId="114FB476" w:rsidR="009C0BF7" w:rsidRDefault="009C0BF7" w:rsidP="009C0BF7">
      <w:pPr>
        <w:keepNext/>
        <w:keepLines/>
        <w:topLinePunct/>
        <w:adjustRightInd w:val="0"/>
        <w:spacing w:line="480" w:lineRule="auto"/>
        <w:ind w:firstLine="425"/>
        <w:outlineLvl w:val="3"/>
        <w:rPr>
          <w:rFonts w:ascii="Arial" w:eastAsia="黑体" w:hAnsi="Arial" w:cs="Times New Roman"/>
          <w:color w:val="007DB6"/>
          <w:kern w:val="0"/>
          <w:szCs w:val="21"/>
        </w:rPr>
      </w:pPr>
      <w:r w:rsidRPr="009C0BF7">
        <w:rPr>
          <w:rFonts w:ascii="Arial" w:eastAsia="汉仪中圆简" w:hAnsi="Arial" w:cs="Times New Roman" w:hint="eastAsia"/>
          <w:color w:val="007DB6"/>
          <w:kern w:val="22"/>
          <w:sz w:val="22"/>
        </w:rPr>
        <w:t>（</w:t>
      </w:r>
      <w:r w:rsidR="00510E76">
        <w:rPr>
          <w:rFonts w:ascii="Arial" w:eastAsia="汉仪中圆简" w:hAnsi="Arial" w:cs="Times New Roman" w:hint="eastAsia"/>
          <w:color w:val="007DB6"/>
          <w:kern w:val="22"/>
          <w:sz w:val="22"/>
        </w:rPr>
        <w:t>一</w:t>
      </w:r>
      <w:r w:rsidRPr="009C0BF7">
        <w:rPr>
          <w:rFonts w:ascii="Arial" w:eastAsia="汉仪中圆简" w:hAnsi="Arial" w:cs="Times New Roman" w:hint="eastAsia"/>
          <w:color w:val="007DB6"/>
          <w:kern w:val="22"/>
          <w:sz w:val="22"/>
        </w:rPr>
        <w:t>）</w:t>
      </w:r>
      <w:r w:rsidR="00510E76" w:rsidRPr="00ED7E95">
        <w:rPr>
          <w:rFonts w:ascii="Arial" w:eastAsia="黑体" w:hAnsi="Arial" w:cs="Times New Roman" w:hint="eastAsia"/>
          <w:color w:val="007DB6"/>
          <w:kern w:val="0"/>
          <w:szCs w:val="21"/>
        </w:rPr>
        <w:t>碳价和交易量</w:t>
      </w:r>
    </w:p>
    <w:p w14:paraId="40D0AD97" w14:textId="6B60EBA9" w:rsidR="00D57CA0" w:rsidRPr="007929C5" w:rsidRDefault="00D57CA0" w:rsidP="00D57CA0">
      <w:pPr>
        <w:keepNext/>
        <w:keepLines/>
        <w:topLinePunct/>
        <w:adjustRightInd w:val="0"/>
        <w:spacing w:line="480" w:lineRule="auto"/>
        <w:ind w:firstLine="425"/>
        <w:outlineLvl w:val="4"/>
        <w:rPr>
          <w:rFonts w:ascii="Arial" w:eastAsia="黑体" w:hAnsi="Arial" w:cs="Times New Roman"/>
          <w:color w:val="007DB6"/>
          <w:kern w:val="0"/>
          <w:szCs w:val="21"/>
        </w:rPr>
      </w:pPr>
      <w:r>
        <w:rPr>
          <w:rFonts w:ascii="Arial" w:eastAsia="黑体" w:hAnsi="Arial" w:cs="Times New Roman"/>
          <w:color w:val="007DB6"/>
          <w:kern w:val="0"/>
          <w:szCs w:val="21"/>
        </w:rPr>
        <w:t>1</w:t>
      </w:r>
      <w:r w:rsidRPr="007929C5">
        <w:rPr>
          <w:rFonts w:ascii="Arial" w:eastAsia="黑体" w:hAnsi="Arial" w:cs="Times New Roman" w:hint="eastAsia"/>
          <w:color w:val="007DB6"/>
          <w:kern w:val="0"/>
          <w:szCs w:val="21"/>
        </w:rPr>
        <w:t>．</w:t>
      </w:r>
      <w:r>
        <w:rPr>
          <w:rFonts w:ascii="Arial" w:eastAsia="黑体" w:hAnsi="Arial" w:cs="Times New Roman" w:hint="eastAsia"/>
          <w:color w:val="007DB6"/>
          <w:kern w:val="0"/>
          <w:szCs w:val="21"/>
        </w:rPr>
        <w:t>上海市</w:t>
      </w:r>
    </w:p>
    <w:p w14:paraId="4692BA3B" w14:textId="77777777" w:rsidR="00D16DD1" w:rsidRPr="001A0D4C" w:rsidRDefault="00D16DD1" w:rsidP="00D16DD1">
      <w:pPr>
        <w:pStyle w:val="aa"/>
        <w:ind w:firstLineChars="0" w:firstLine="0"/>
        <w:jc w:val="center"/>
      </w:pPr>
      <w:r w:rsidRPr="001A0D4C">
        <w:rPr>
          <w:noProof/>
        </w:rPr>
        <w:drawing>
          <wp:inline distT="0" distB="0" distL="0" distR="0" wp14:anchorId="7E2643D1" wp14:editId="06C0F034">
            <wp:extent cx="3949700" cy="1936976"/>
            <wp:effectExtent l="0" t="0" r="0" b="6350"/>
            <wp:docPr id="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9633" cy="1946751"/>
                    </a:xfrm>
                    <a:prstGeom prst="rect">
                      <a:avLst/>
                    </a:prstGeom>
                    <a:noFill/>
                    <a:ln>
                      <a:noFill/>
                    </a:ln>
                  </pic:spPr>
                </pic:pic>
              </a:graphicData>
            </a:graphic>
          </wp:inline>
        </w:drawing>
      </w:r>
    </w:p>
    <w:p w14:paraId="05FF4E11" w14:textId="62A4A2A1" w:rsidR="00D16DD1" w:rsidRPr="001A0D4C" w:rsidRDefault="00D16DD1" w:rsidP="00D16DD1">
      <w:pPr>
        <w:pStyle w:val="-"/>
      </w:pPr>
      <w:r w:rsidRPr="001A0D4C">
        <w:rPr>
          <w:rFonts w:hint="eastAsia"/>
        </w:rPr>
        <w:t>图</w:t>
      </w:r>
      <w:r w:rsidR="00427678">
        <w:t>1</w:t>
      </w:r>
      <w:r w:rsidRPr="001A0D4C">
        <w:t xml:space="preserve"> </w:t>
      </w:r>
      <w:r w:rsidR="00D57CA0">
        <w:rPr>
          <w:rFonts w:hint="eastAsia"/>
        </w:rPr>
        <w:t>上海市</w:t>
      </w:r>
      <w:r w:rsidRPr="001A0D4C">
        <w:rPr>
          <w:rFonts w:hint="eastAsia"/>
        </w:rPr>
        <w:t>在</w:t>
      </w:r>
      <w:r w:rsidR="00562E71">
        <w:rPr>
          <w:rFonts w:hint="eastAsia"/>
        </w:rPr>
        <w:t>碳排放交易</w:t>
      </w:r>
      <w:r w:rsidRPr="001A0D4C">
        <w:rPr>
          <w:rFonts w:hint="eastAsia"/>
        </w:rPr>
        <w:t>情景</w:t>
      </w:r>
      <w:r w:rsidR="00562E71">
        <w:rPr>
          <w:rFonts w:hint="eastAsia"/>
        </w:rPr>
        <w:t>（</w:t>
      </w:r>
      <w:r w:rsidR="00562E71">
        <w:rPr>
          <w:rFonts w:hint="eastAsia"/>
          <w:lang w:eastAsia="zh-CN"/>
        </w:rPr>
        <w:t>E</w:t>
      </w:r>
      <w:r w:rsidR="00562E71">
        <w:rPr>
          <w:lang w:eastAsia="zh-CN"/>
        </w:rPr>
        <w:t>TS</w:t>
      </w:r>
      <w:r w:rsidR="00562E71">
        <w:rPr>
          <w:rFonts w:hint="eastAsia"/>
        </w:rPr>
        <w:t>）</w:t>
      </w:r>
      <w:r w:rsidRPr="001A0D4C">
        <w:rPr>
          <w:rFonts w:hint="eastAsia"/>
        </w:rPr>
        <w:t>下不同部门的交易量</w:t>
      </w:r>
    </w:p>
    <w:p w14:paraId="2E62937B" w14:textId="77777777" w:rsidR="00DF1202" w:rsidRDefault="00562E71" w:rsidP="00DF1202">
      <w:pPr>
        <w:ind w:firstLineChars="200" w:firstLine="420"/>
      </w:pPr>
      <w:r w:rsidRPr="00A81728">
        <w:rPr>
          <w:rFonts w:hint="eastAsia"/>
          <w:b/>
          <w:bCs/>
        </w:rPr>
        <w:t>在碳排放交易</w:t>
      </w:r>
      <w:r w:rsidR="00427678" w:rsidRPr="00427678">
        <w:rPr>
          <w:rFonts w:hint="eastAsia"/>
          <w:b/>
          <w:bCs/>
        </w:rPr>
        <w:t>情景下</w:t>
      </w:r>
      <w:r w:rsidRPr="00A81728">
        <w:rPr>
          <w:rFonts w:hint="eastAsia"/>
          <w:b/>
          <w:bCs/>
        </w:rPr>
        <w:t>，</w:t>
      </w:r>
      <w:r w:rsidR="00427678" w:rsidRPr="00427678">
        <w:rPr>
          <w:b/>
          <w:bCs/>
        </w:rPr>
        <w:t>均衡交易价格将在2020年达到38美元/吨，2030年达到69美元/吨。</w:t>
      </w:r>
      <w:r w:rsidR="00427678" w:rsidRPr="00427678">
        <w:rPr>
          <w:rFonts w:hint="eastAsia"/>
        </w:rPr>
        <w:t>碳交易价格的上升意味着上海市碳减排成本的增加</w:t>
      </w:r>
      <w:r w:rsidR="00427678" w:rsidRPr="00427678">
        <w:t>。</w:t>
      </w:r>
    </w:p>
    <w:p w14:paraId="16C09D18" w14:textId="003D9EBF" w:rsidR="00427678" w:rsidRDefault="00427678" w:rsidP="00DF1202">
      <w:pPr>
        <w:ind w:firstLineChars="200" w:firstLine="420"/>
      </w:pPr>
      <w:r w:rsidRPr="00A81728">
        <w:rPr>
          <w:b/>
          <w:bCs/>
        </w:rPr>
        <w:t>2020</w:t>
      </w:r>
      <w:r w:rsidRPr="00A81728">
        <w:rPr>
          <w:rFonts w:hint="eastAsia"/>
          <w:b/>
          <w:bCs/>
        </w:rPr>
        <w:t>年交易总量为</w:t>
      </w:r>
      <w:r w:rsidRPr="00A81728">
        <w:rPr>
          <w:b/>
          <w:bCs/>
        </w:rPr>
        <w:t>490</w:t>
      </w:r>
      <w:r w:rsidRPr="00A81728">
        <w:rPr>
          <w:rFonts w:hint="eastAsia"/>
          <w:b/>
          <w:bCs/>
        </w:rPr>
        <w:t>万吨二氧化碳</w:t>
      </w:r>
      <w:r w:rsidR="00DF1202" w:rsidRPr="00A81728">
        <w:rPr>
          <w:rFonts w:hint="eastAsia"/>
          <w:b/>
          <w:bCs/>
        </w:rPr>
        <w:t>，</w:t>
      </w:r>
      <w:r w:rsidRPr="00A81728">
        <w:rPr>
          <w:rFonts w:hint="eastAsia"/>
          <w:b/>
          <w:bCs/>
        </w:rPr>
        <w:t>随着</w:t>
      </w:r>
      <w:r w:rsidRPr="00A81728">
        <w:rPr>
          <w:b/>
          <w:bCs/>
        </w:rPr>
        <w:t>碳</w:t>
      </w:r>
      <w:r w:rsidRPr="00A81728">
        <w:rPr>
          <w:rFonts w:hint="eastAsia"/>
          <w:b/>
          <w:bCs/>
        </w:rPr>
        <w:t>市场流动性的增强，</w:t>
      </w:r>
      <w:r w:rsidRPr="00A81728">
        <w:rPr>
          <w:b/>
          <w:bCs/>
        </w:rPr>
        <w:t>在2030年</w:t>
      </w:r>
      <w:r w:rsidRPr="00A81728">
        <w:rPr>
          <w:rFonts w:hint="eastAsia"/>
          <w:b/>
          <w:bCs/>
        </w:rPr>
        <w:t>交易量</w:t>
      </w:r>
      <w:r w:rsidRPr="00A81728">
        <w:rPr>
          <w:b/>
          <w:bCs/>
        </w:rPr>
        <w:t>将增加到620</w:t>
      </w:r>
      <w:r w:rsidRPr="00A81728">
        <w:rPr>
          <w:rFonts w:hint="eastAsia"/>
          <w:b/>
          <w:bCs/>
        </w:rPr>
        <w:t>万吨二氧化碳</w:t>
      </w:r>
      <w:r w:rsidRPr="00A81728">
        <w:rPr>
          <w:b/>
          <w:bCs/>
        </w:rPr>
        <w:t>。</w:t>
      </w:r>
      <w:r w:rsidRPr="00427678">
        <w:rPr>
          <w:rFonts w:hint="eastAsia"/>
        </w:rPr>
        <w:t>其中，</w:t>
      </w:r>
      <w:r w:rsidRPr="00427678">
        <w:t>钢铁</w:t>
      </w:r>
      <w:r w:rsidRPr="00427678">
        <w:rPr>
          <w:rFonts w:hint="eastAsia"/>
        </w:rPr>
        <w:t>、</w:t>
      </w:r>
      <w:r w:rsidRPr="00427678">
        <w:t>航空运输和电力</w:t>
      </w:r>
      <w:r w:rsidRPr="00427678">
        <w:rPr>
          <w:rFonts w:hint="eastAsia"/>
        </w:rPr>
        <w:t>部门在</w:t>
      </w:r>
      <w:r w:rsidRPr="00427678">
        <w:t>碳交易市场中最</w:t>
      </w:r>
      <w:r w:rsidRPr="00427678">
        <w:rPr>
          <w:rFonts w:hint="eastAsia"/>
        </w:rPr>
        <w:t>为</w:t>
      </w:r>
      <w:r w:rsidRPr="00427678">
        <w:t>活跃。到2020年，碳减排成本最低的钢铁</w:t>
      </w:r>
      <w:r w:rsidRPr="00427678">
        <w:rPr>
          <w:rFonts w:hint="eastAsia"/>
        </w:rPr>
        <w:t>部门</w:t>
      </w:r>
      <w:r w:rsidRPr="00427678">
        <w:t>是</w:t>
      </w:r>
      <w:r w:rsidRPr="00427678">
        <w:rPr>
          <w:rFonts w:hint="eastAsia"/>
        </w:rPr>
        <w:t>碳配额</w:t>
      </w:r>
      <w:r w:rsidRPr="00427678">
        <w:t>的主要卖家，</w:t>
      </w:r>
      <w:r w:rsidRPr="00427678">
        <w:rPr>
          <w:rFonts w:hint="eastAsia"/>
        </w:rPr>
        <w:t>碳配额卖出量达到</w:t>
      </w:r>
      <w:r w:rsidRPr="00427678">
        <w:t>460</w:t>
      </w:r>
      <w:r w:rsidRPr="00427678">
        <w:rPr>
          <w:rFonts w:hint="eastAsia"/>
        </w:rPr>
        <w:t>万吨二氧化碳</w:t>
      </w:r>
      <w:r w:rsidRPr="00427678">
        <w:t>(占总</w:t>
      </w:r>
      <w:r w:rsidR="00562E71">
        <w:rPr>
          <w:rFonts w:hint="eastAsia"/>
        </w:rPr>
        <w:t>交易</w:t>
      </w:r>
      <w:r w:rsidRPr="00427678">
        <w:t>量的95%)。相比之下，碳</w:t>
      </w:r>
      <w:r w:rsidRPr="00427678">
        <w:rPr>
          <w:rFonts w:hint="eastAsia"/>
        </w:rPr>
        <w:t>减排</w:t>
      </w:r>
      <w:r w:rsidRPr="00427678">
        <w:t>价格较高的</w:t>
      </w:r>
      <w:r w:rsidRPr="00427678">
        <w:rPr>
          <w:rFonts w:hint="eastAsia"/>
        </w:rPr>
        <w:t>部门</w:t>
      </w:r>
      <w:r w:rsidRPr="00427678">
        <w:t>往往是买家，如航空运输、电力、炼油炼焦、化工等</w:t>
      </w:r>
      <w:r w:rsidRPr="00427678">
        <w:rPr>
          <w:rFonts w:hint="eastAsia"/>
        </w:rPr>
        <w:t>部门</w:t>
      </w:r>
      <w:r w:rsidRPr="00427678">
        <w:t>。到2030年，</w:t>
      </w:r>
      <w:r w:rsidR="00562E71">
        <w:rPr>
          <w:rFonts w:hint="eastAsia"/>
        </w:rPr>
        <w:t>随着我国其他地区可再生能源的发展，</w:t>
      </w:r>
      <w:r w:rsidRPr="00427678">
        <w:t>电力部门</w:t>
      </w:r>
      <w:r w:rsidRPr="00427678">
        <w:rPr>
          <w:rFonts w:hint="eastAsia"/>
        </w:rPr>
        <w:t>将会转变</w:t>
      </w:r>
      <w:r w:rsidRPr="00427678">
        <w:t>为主要卖方。另一方面，纺织和造纸</w:t>
      </w:r>
      <w:r w:rsidRPr="00427678">
        <w:rPr>
          <w:rFonts w:hint="eastAsia"/>
        </w:rPr>
        <w:t>部门</w:t>
      </w:r>
      <w:r w:rsidRPr="00427678">
        <w:t>可能会从</w:t>
      </w:r>
      <w:r w:rsidRPr="00427678">
        <w:rPr>
          <w:rFonts w:hint="eastAsia"/>
        </w:rPr>
        <w:t>碳配额</w:t>
      </w:r>
      <w:r w:rsidRPr="00427678">
        <w:t>卖家转变为买家</w:t>
      </w:r>
      <w:r w:rsidRPr="00427678">
        <w:rPr>
          <w:rFonts w:hint="eastAsia"/>
        </w:rPr>
        <w:t>，</w:t>
      </w:r>
      <w:r w:rsidRPr="00427678">
        <w:t>航空运输业</w:t>
      </w:r>
      <w:r w:rsidRPr="00427678">
        <w:rPr>
          <w:rFonts w:hint="eastAsia"/>
        </w:rPr>
        <w:t>买入了大量碳排放权</w:t>
      </w:r>
      <w:r w:rsidRPr="00427678">
        <w:t>，钢</w:t>
      </w:r>
      <w:r w:rsidRPr="00427678">
        <w:rPr>
          <w:rFonts w:hint="eastAsia"/>
        </w:rPr>
        <w:t>铁部门</w:t>
      </w:r>
      <w:r w:rsidRPr="00427678">
        <w:t>2030年的</w:t>
      </w:r>
      <w:r w:rsidRPr="00427678">
        <w:rPr>
          <w:rFonts w:hint="eastAsia"/>
        </w:rPr>
        <w:t>碳配额卖出量</w:t>
      </w:r>
      <w:r w:rsidRPr="00427678">
        <w:t>低于2020年。</w:t>
      </w:r>
    </w:p>
    <w:p w14:paraId="5D921D05" w14:textId="6C6795D8" w:rsidR="00D57CA0" w:rsidRPr="007929C5" w:rsidRDefault="00D57CA0" w:rsidP="00D57CA0">
      <w:pPr>
        <w:keepNext/>
        <w:keepLines/>
        <w:topLinePunct/>
        <w:adjustRightInd w:val="0"/>
        <w:spacing w:line="480" w:lineRule="auto"/>
        <w:ind w:firstLine="425"/>
        <w:outlineLvl w:val="4"/>
        <w:rPr>
          <w:rFonts w:ascii="Arial" w:eastAsia="黑体" w:hAnsi="Arial" w:cs="Times New Roman"/>
          <w:color w:val="007DB6"/>
          <w:kern w:val="0"/>
          <w:szCs w:val="21"/>
        </w:rPr>
      </w:pPr>
      <w:r>
        <w:rPr>
          <w:rFonts w:ascii="Arial" w:eastAsia="黑体" w:hAnsi="Arial" w:cs="Times New Roman"/>
          <w:color w:val="007DB6"/>
          <w:kern w:val="0"/>
          <w:szCs w:val="21"/>
        </w:rPr>
        <w:t>2</w:t>
      </w:r>
      <w:r w:rsidRPr="007929C5">
        <w:rPr>
          <w:rFonts w:ascii="Arial" w:eastAsia="黑体" w:hAnsi="Arial" w:cs="Times New Roman" w:hint="eastAsia"/>
          <w:color w:val="007DB6"/>
          <w:kern w:val="0"/>
          <w:szCs w:val="21"/>
        </w:rPr>
        <w:t>．</w:t>
      </w:r>
      <w:r>
        <w:rPr>
          <w:rFonts w:ascii="Arial" w:eastAsia="黑体" w:hAnsi="Arial" w:cs="Times New Roman" w:hint="eastAsia"/>
          <w:color w:val="007DB6"/>
          <w:kern w:val="0"/>
          <w:szCs w:val="21"/>
        </w:rPr>
        <w:t>广东省</w:t>
      </w:r>
    </w:p>
    <w:p w14:paraId="49934CB6" w14:textId="44A6A140" w:rsidR="007B3465" w:rsidRPr="00121401" w:rsidRDefault="007B3465" w:rsidP="00D57CA0">
      <w:pPr>
        <w:topLinePunct/>
        <w:adjustRightInd w:val="0"/>
        <w:jc w:val="center"/>
        <w:rPr>
          <w:rFonts w:ascii="Times New Roman" w:eastAsia="宋体" w:hAnsi="Times New Roman" w:cs="Times New Roman"/>
          <w:color w:val="000000"/>
          <w:kern w:val="21"/>
          <w:szCs w:val="21"/>
        </w:rPr>
      </w:pPr>
      <w:r>
        <w:rPr>
          <w:rFonts w:ascii="Times New Roman" w:eastAsia="宋体" w:hAnsi="Times New Roman" w:cs="Times New Roman"/>
          <w:noProof/>
          <w:color w:val="000000"/>
          <w:kern w:val="21"/>
          <w:szCs w:val="21"/>
        </w:rPr>
        <w:drawing>
          <wp:inline distT="0" distB="0" distL="0" distR="0" wp14:anchorId="310D9460" wp14:editId="3CB9341D">
            <wp:extent cx="3028950" cy="2467453"/>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5664" cy="2472922"/>
                    </a:xfrm>
                    <a:prstGeom prst="rect">
                      <a:avLst/>
                    </a:prstGeom>
                    <a:noFill/>
                  </pic:spPr>
                </pic:pic>
              </a:graphicData>
            </a:graphic>
          </wp:inline>
        </w:drawing>
      </w:r>
    </w:p>
    <w:p w14:paraId="542434C0" w14:textId="778BCD0F" w:rsidR="00D57CA0" w:rsidRPr="00121401" w:rsidRDefault="00D57CA0" w:rsidP="00D57CA0">
      <w:pPr>
        <w:topLinePunct/>
        <w:adjustRightInd w:val="0"/>
        <w:spacing w:before="40" w:after="320"/>
        <w:jc w:val="center"/>
        <w:rPr>
          <w:rFonts w:ascii="Arial" w:eastAsia="黑体" w:hAnsi="Arial" w:cs="Times New Roman"/>
          <w:kern w:val="18"/>
          <w:sz w:val="18"/>
          <w:szCs w:val="24"/>
          <w:lang w:eastAsia="zh-TW"/>
        </w:rPr>
      </w:pPr>
      <w:r w:rsidRPr="00121401">
        <w:rPr>
          <w:rFonts w:ascii="Arial" w:eastAsia="黑体" w:hAnsi="Arial" w:cs="Times New Roman" w:hint="eastAsia"/>
          <w:kern w:val="18"/>
          <w:sz w:val="18"/>
          <w:szCs w:val="24"/>
          <w:lang w:eastAsia="zh-TW"/>
        </w:rPr>
        <w:t>图</w:t>
      </w:r>
      <w:r w:rsidR="003A1D45">
        <w:rPr>
          <w:rFonts w:ascii="Arial" w:eastAsia="黑体" w:hAnsi="Arial" w:cs="Times New Roman"/>
          <w:kern w:val="18"/>
          <w:sz w:val="18"/>
          <w:szCs w:val="24"/>
          <w:lang w:eastAsia="zh-TW"/>
        </w:rPr>
        <w:t>2</w:t>
      </w:r>
      <w:r w:rsidRPr="00121401">
        <w:rPr>
          <w:rFonts w:ascii="Arial" w:eastAsia="黑体" w:hAnsi="Arial" w:cs="Times New Roman"/>
          <w:kern w:val="18"/>
          <w:sz w:val="18"/>
          <w:szCs w:val="24"/>
          <w:lang w:eastAsia="zh-TW"/>
        </w:rPr>
        <w:t xml:space="preserve"> </w:t>
      </w:r>
      <w:r>
        <w:rPr>
          <w:rFonts w:ascii="Arial" w:eastAsia="黑体" w:hAnsi="Arial" w:cs="Times New Roman" w:hint="eastAsia"/>
          <w:kern w:val="18"/>
          <w:sz w:val="18"/>
          <w:szCs w:val="24"/>
          <w:lang w:eastAsia="zh-TW"/>
        </w:rPr>
        <w:t>广东省</w:t>
      </w:r>
      <w:r w:rsidRPr="00121401">
        <w:rPr>
          <w:rFonts w:ascii="Arial" w:eastAsia="黑体" w:hAnsi="Arial" w:cs="Times New Roman"/>
          <w:kern w:val="18"/>
          <w:sz w:val="18"/>
          <w:szCs w:val="24"/>
          <w:lang w:eastAsia="zh-TW"/>
        </w:rPr>
        <w:t>2030</w:t>
      </w:r>
      <w:r w:rsidRPr="00121401">
        <w:rPr>
          <w:rFonts w:ascii="Arial" w:eastAsia="黑体" w:hAnsi="Arial" w:cs="Times New Roman"/>
          <w:kern w:val="18"/>
          <w:sz w:val="18"/>
          <w:szCs w:val="24"/>
          <w:lang w:eastAsia="zh-TW"/>
        </w:rPr>
        <w:t>年</w:t>
      </w:r>
      <w:r>
        <w:rPr>
          <w:rFonts w:ascii="Arial" w:eastAsia="黑体" w:hAnsi="Arial" w:cs="Times New Roman" w:hint="eastAsia"/>
          <w:kern w:val="18"/>
          <w:sz w:val="18"/>
          <w:szCs w:val="24"/>
          <w:lang w:eastAsia="zh-TW"/>
        </w:rPr>
        <w:t>碳交易</w:t>
      </w:r>
      <w:r w:rsidRPr="00121401">
        <w:rPr>
          <w:rFonts w:ascii="Arial" w:eastAsia="黑体" w:hAnsi="Arial" w:cs="Times New Roman"/>
          <w:kern w:val="18"/>
          <w:sz w:val="18"/>
          <w:szCs w:val="24"/>
          <w:lang w:eastAsia="zh-TW"/>
        </w:rPr>
        <w:t>情景下</w:t>
      </w:r>
      <w:r w:rsidRPr="00121401">
        <w:rPr>
          <w:rFonts w:ascii="Arial" w:eastAsia="黑体" w:hAnsi="Arial" w:cs="Times New Roman" w:hint="eastAsia"/>
          <w:kern w:val="18"/>
          <w:sz w:val="18"/>
          <w:szCs w:val="24"/>
          <w:lang w:eastAsia="zh-TW"/>
        </w:rPr>
        <w:t>交易</w:t>
      </w:r>
      <w:r w:rsidRPr="00121401">
        <w:rPr>
          <w:rFonts w:ascii="Arial" w:eastAsia="黑体" w:hAnsi="Arial" w:cs="Times New Roman"/>
          <w:kern w:val="18"/>
          <w:sz w:val="18"/>
          <w:szCs w:val="24"/>
          <w:lang w:eastAsia="zh-TW"/>
        </w:rPr>
        <w:t>量及</w:t>
      </w:r>
      <w:r w:rsidR="00313AE4">
        <w:rPr>
          <w:rFonts w:ascii="Arial" w:eastAsia="黑体" w:hAnsi="Arial" w:cs="Times New Roman" w:hint="eastAsia"/>
          <w:kern w:val="18"/>
          <w:sz w:val="18"/>
          <w:szCs w:val="24"/>
          <w:lang w:eastAsia="zh-TW"/>
        </w:rPr>
        <w:t>交易额分别</w:t>
      </w:r>
      <w:r w:rsidRPr="00121401">
        <w:rPr>
          <w:rFonts w:ascii="Arial" w:eastAsia="黑体" w:hAnsi="Arial" w:cs="Times New Roman"/>
          <w:kern w:val="18"/>
          <w:sz w:val="18"/>
          <w:szCs w:val="24"/>
          <w:lang w:eastAsia="zh-TW"/>
        </w:rPr>
        <w:t>占总排放</w:t>
      </w:r>
      <w:r w:rsidRPr="00121401">
        <w:rPr>
          <w:rFonts w:ascii="Arial" w:eastAsia="黑体" w:hAnsi="Arial" w:cs="Times New Roman" w:hint="eastAsia"/>
          <w:kern w:val="18"/>
          <w:sz w:val="18"/>
          <w:szCs w:val="24"/>
          <w:lang w:eastAsia="zh-TW"/>
        </w:rPr>
        <w:t>和</w:t>
      </w:r>
      <w:r w:rsidRPr="00121401">
        <w:rPr>
          <w:rFonts w:ascii="Arial" w:eastAsia="黑体" w:hAnsi="Arial" w:cs="Times New Roman"/>
          <w:kern w:val="18"/>
          <w:sz w:val="18"/>
          <w:szCs w:val="24"/>
          <w:lang w:eastAsia="zh-TW"/>
        </w:rPr>
        <w:t>GDP</w:t>
      </w:r>
      <w:r w:rsidRPr="00121401">
        <w:rPr>
          <w:rFonts w:ascii="Arial" w:eastAsia="黑体" w:hAnsi="Arial" w:cs="Times New Roman"/>
          <w:kern w:val="18"/>
          <w:sz w:val="18"/>
          <w:szCs w:val="24"/>
          <w:lang w:eastAsia="zh-TW"/>
        </w:rPr>
        <w:t>的比重</w:t>
      </w:r>
    </w:p>
    <w:p w14:paraId="6455EA56" w14:textId="4EE3990A" w:rsidR="007B3465" w:rsidRPr="007B3465" w:rsidRDefault="007B3465" w:rsidP="007B3465">
      <w:pPr>
        <w:ind w:firstLineChars="200" w:firstLine="420"/>
      </w:pPr>
      <w:r w:rsidRPr="007B3465">
        <w:lastRenderedPageBreak/>
        <w:t>在</w:t>
      </w:r>
      <w:r w:rsidR="003A1D45">
        <w:rPr>
          <w:rFonts w:hint="eastAsia"/>
        </w:rPr>
        <w:t>静态分配</w:t>
      </w:r>
      <w:r>
        <w:rPr>
          <w:rFonts w:hint="eastAsia"/>
        </w:rPr>
        <w:t>碳交易</w:t>
      </w:r>
      <w:r w:rsidR="003A1D45">
        <w:rPr>
          <w:rFonts w:hint="eastAsia"/>
        </w:rPr>
        <w:t>（E</w:t>
      </w:r>
      <w:r w:rsidR="003A1D45">
        <w:t>T SHR07</w:t>
      </w:r>
      <w:r w:rsidR="003A1D45">
        <w:rPr>
          <w:rFonts w:hint="eastAsia"/>
        </w:rPr>
        <w:t>）</w:t>
      </w:r>
      <w:r w:rsidRPr="007B3465">
        <w:t>情景下，</w:t>
      </w:r>
      <w:r w:rsidR="003A1D45">
        <w:rPr>
          <w:rFonts w:hint="eastAsia"/>
        </w:rPr>
        <w:t>广东省2</w:t>
      </w:r>
      <w:r w:rsidR="003A1D45">
        <w:t>030</w:t>
      </w:r>
      <w:r w:rsidR="003A1D45">
        <w:rPr>
          <w:rFonts w:hint="eastAsia"/>
        </w:rPr>
        <w:t>年</w:t>
      </w:r>
      <w:r w:rsidRPr="001733D6">
        <w:rPr>
          <w:b/>
          <w:bCs/>
        </w:rPr>
        <w:t>碳交易总量</w:t>
      </w:r>
      <w:r w:rsidRPr="007B3465">
        <w:t>达到8830</w:t>
      </w:r>
      <w:r w:rsidRPr="007B3465">
        <w:rPr>
          <w:rFonts w:hint="eastAsia"/>
        </w:rPr>
        <w:t>万吨</w:t>
      </w:r>
      <w:r w:rsidRPr="007B3465">
        <w:t>，占总碳排放的11.0%，</w:t>
      </w:r>
      <w:r w:rsidRPr="001733D6">
        <w:rPr>
          <w:b/>
          <w:bCs/>
        </w:rPr>
        <w:t>碳价</w:t>
      </w:r>
      <w:r w:rsidRPr="007B3465">
        <w:t>为302.1</w:t>
      </w:r>
      <w:r w:rsidRPr="007B3465">
        <w:rPr>
          <w:rFonts w:hint="eastAsia"/>
        </w:rPr>
        <w:t>美元/吨</w:t>
      </w:r>
      <w:r w:rsidRPr="007B3465">
        <w:t>，碳交易额达到267</w:t>
      </w:r>
      <w:r w:rsidRPr="007B3465">
        <w:rPr>
          <w:rFonts w:hint="eastAsia"/>
        </w:rPr>
        <w:t>亿美元</w:t>
      </w:r>
      <w:r w:rsidRPr="007B3465">
        <w:t>，占GDP的1.3%；</w:t>
      </w:r>
      <w:r w:rsidRPr="007B3465">
        <w:rPr>
          <w:rFonts w:hint="eastAsia"/>
        </w:rPr>
        <w:t>电力部门</w:t>
      </w:r>
      <w:r w:rsidRPr="007B3465">
        <w:t>、</w:t>
      </w:r>
      <w:r w:rsidRPr="007B3465">
        <w:rPr>
          <w:rFonts w:hint="eastAsia"/>
        </w:rPr>
        <w:t>石油部门</w:t>
      </w:r>
      <w:r w:rsidRPr="007B3465">
        <w:t>为最主要的买方，</w:t>
      </w:r>
      <w:r w:rsidRPr="007B3465">
        <w:rPr>
          <w:rFonts w:hint="eastAsia"/>
        </w:rPr>
        <w:t>非金属业</w:t>
      </w:r>
      <w:r w:rsidRPr="007B3465">
        <w:t>、</w:t>
      </w:r>
      <w:r w:rsidRPr="007B3465">
        <w:rPr>
          <w:rFonts w:hint="eastAsia"/>
        </w:rPr>
        <w:t>金属冶炼</w:t>
      </w:r>
      <w:r w:rsidRPr="007B3465">
        <w:t>和</w:t>
      </w:r>
      <w:r w:rsidRPr="007B3465">
        <w:rPr>
          <w:rFonts w:hint="eastAsia"/>
        </w:rPr>
        <w:t>造纸业</w:t>
      </w:r>
      <w:r w:rsidRPr="007B3465">
        <w:t>为最主要的卖方。</w:t>
      </w:r>
    </w:p>
    <w:p w14:paraId="4F0BC72C" w14:textId="34D6EC94" w:rsidR="007B3465" w:rsidRPr="007B3465" w:rsidRDefault="007B3465" w:rsidP="007B3465">
      <w:pPr>
        <w:ind w:firstLineChars="200" w:firstLine="420"/>
      </w:pPr>
      <w:r w:rsidRPr="007B3465">
        <w:rPr>
          <w:rFonts w:hint="eastAsia"/>
        </w:rPr>
        <w:t>在</w:t>
      </w:r>
      <w:r w:rsidR="003A1D45">
        <w:rPr>
          <w:rFonts w:hint="eastAsia"/>
        </w:rPr>
        <w:t>动态分配碳交易（</w:t>
      </w:r>
      <w:r w:rsidR="003A1D45" w:rsidRPr="007B3465">
        <w:t>ET</w:t>
      </w:r>
      <w:r w:rsidR="003A1D45">
        <w:t xml:space="preserve"> </w:t>
      </w:r>
      <w:r w:rsidR="003A1D45" w:rsidRPr="007B3465">
        <w:t>SHRbau</w:t>
      </w:r>
      <w:r w:rsidR="003A1D45">
        <w:rPr>
          <w:rFonts w:hint="eastAsia"/>
        </w:rPr>
        <w:t>）</w:t>
      </w:r>
      <w:r w:rsidRPr="007B3465">
        <w:t>情景下</w:t>
      </w:r>
      <w:r w:rsidR="003A1D45">
        <w:rPr>
          <w:rFonts w:hint="eastAsia"/>
        </w:rPr>
        <w:t>，广东省</w:t>
      </w:r>
      <w:r w:rsidRPr="007B3465">
        <w:t>碳市场规模明显缩水，</w:t>
      </w:r>
      <w:r w:rsidRPr="001733D6">
        <w:rPr>
          <w:b/>
          <w:bCs/>
        </w:rPr>
        <w:t>碳交易总量</w:t>
      </w:r>
      <w:r w:rsidRPr="007B3465">
        <w:rPr>
          <w:rFonts w:hint="eastAsia"/>
        </w:rPr>
        <w:t>为</w:t>
      </w:r>
      <w:r w:rsidRPr="007B3465">
        <w:t>4560</w:t>
      </w:r>
      <w:r w:rsidRPr="007B3465">
        <w:rPr>
          <w:rFonts w:hint="eastAsia"/>
        </w:rPr>
        <w:t>万吨</w:t>
      </w:r>
      <w:r w:rsidRPr="007B3465">
        <w:t>，占总碳排放的5.7%，</w:t>
      </w:r>
      <w:r w:rsidRPr="001733D6">
        <w:rPr>
          <w:b/>
          <w:bCs/>
        </w:rPr>
        <w:t>碳价</w:t>
      </w:r>
      <w:r w:rsidRPr="007B3465">
        <w:t>为332.2</w:t>
      </w:r>
      <w:r w:rsidRPr="007B3465">
        <w:rPr>
          <w:rFonts w:hint="eastAsia"/>
        </w:rPr>
        <w:t>美元/吨</w:t>
      </w:r>
      <w:r w:rsidRPr="007B3465">
        <w:t>，略高于ETSHR07，碳交易额达到152</w:t>
      </w:r>
      <w:r w:rsidRPr="007B3465">
        <w:rPr>
          <w:rFonts w:hint="eastAsia"/>
        </w:rPr>
        <w:t>亿美元</w:t>
      </w:r>
      <w:r w:rsidRPr="007B3465">
        <w:t>，占GDP的0.77%；</w:t>
      </w:r>
      <w:r w:rsidRPr="007B3465">
        <w:rPr>
          <w:rFonts w:hint="eastAsia"/>
        </w:rPr>
        <w:t>电力部门</w:t>
      </w:r>
      <w:r w:rsidRPr="007B3465">
        <w:t>为最主要的买方，</w:t>
      </w:r>
      <w:r w:rsidRPr="007B3465">
        <w:rPr>
          <w:rFonts w:hint="eastAsia"/>
        </w:rPr>
        <w:t>航空业</w:t>
      </w:r>
      <w:r w:rsidRPr="007B3465">
        <w:t>、</w:t>
      </w:r>
      <w:r w:rsidRPr="007B3465">
        <w:rPr>
          <w:rFonts w:hint="eastAsia"/>
        </w:rPr>
        <w:t>金属冶炼</w:t>
      </w:r>
      <w:r w:rsidRPr="007B3465">
        <w:t>和</w:t>
      </w:r>
      <w:r w:rsidRPr="007B3465">
        <w:rPr>
          <w:rFonts w:hint="eastAsia"/>
        </w:rPr>
        <w:t>非金属业</w:t>
      </w:r>
      <w:r w:rsidRPr="007B3465">
        <w:t>为最主要的卖方。</w:t>
      </w:r>
    </w:p>
    <w:p w14:paraId="30E5B747" w14:textId="4C8EDA28" w:rsidR="00A2440D" w:rsidRPr="003A1D45" w:rsidRDefault="00A2440D" w:rsidP="00A2440D">
      <w:pPr>
        <w:keepNext/>
        <w:keepLines/>
        <w:topLinePunct/>
        <w:adjustRightInd w:val="0"/>
        <w:spacing w:line="480" w:lineRule="auto"/>
        <w:ind w:firstLine="425"/>
        <w:outlineLvl w:val="3"/>
      </w:pPr>
      <w:r w:rsidRPr="009C0BF7">
        <w:rPr>
          <w:rFonts w:ascii="Arial" w:eastAsia="汉仪中圆简" w:hAnsi="Arial" w:cs="Times New Roman" w:hint="eastAsia"/>
          <w:color w:val="007DB6"/>
          <w:kern w:val="22"/>
          <w:sz w:val="22"/>
        </w:rPr>
        <w:t>（</w:t>
      </w:r>
      <w:r>
        <w:rPr>
          <w:rFonts w:ascii="Arial" w:eastAsia="汉仪中圆简" w:hAnsi="Arial" w:cs="Times New Roman" w:hint="eastAsia"/>
          <w:color w:val="007DB6"/>
          <w:kern w:val="22"/>
          <w:sz w:val="22"/>
        </w:rPr>
        <w:t>二</w:t>
      </w:r>
      <w:r w:rsidRPr="009C0BF7">
        <w:rPr>
          <w:rFonts w:ascii="Arial" w:eastAsia="汉仪中圆简" w:hAnsi="Arial" w:cs="Times New Roman" w:hint="eastAsia"/>
          <w:color w:val="007DB6"/>
          <w:kern w:val="22"/>
          <w:sz w:val="22"/>
        </w:rPr>
        <w:t>）</w:t>
      </w:r>
      <w:r>
        <w:rPr>
          <w:rFonts w:ascii="Arial" w:eastAsia="黑体" w:hAnsi="Arial" w:cs="Times New Roman" w:hint="eastAsia"/>
          <w:color w:val="007DB6"/>
          <w:kern w:val="0"/>
          <w:szCs w:val="21"/>
        </w:rPr>
        <w:t>产出影响</w:t>
      </w:r>
    </w:p>
    <w:p w14:paraId="022AF780" w14:textId="2DFB99BC" w:rsidR="00A2440D" w:rsidRPr="007929C5" w:rsidRDefault="00A2440D" w:rsidP="00A2440D">
      <w:pPr>
        <w:keepNext/>
        <w:keepLines/>
        <w:topLinePunct/>
        <w:adjustRightInd w:val="0"/>
        <w:spacing w:line="480" w:lineRule="auto"/>
        <w:ind w:firstLine="425"/>
        <w:outlineLvl w:val="4"/>
        <w:rPr>
          <w:rFonts w:ascii="Arial" w:eastAsia="黑体" w:hAnsi="Arial" w:cs="Times New Roman"/>
          <w:color w:val="007DB6"/>
          <w:kern w:val="0"/>
          <w:szCs w:val="21"/>
        </w:rPr>
      </w:pPr>
      <w:r>
        <w:rPr>
          <w:rFonts w:ascii="Arial" w:eastAsia="黑体" w:hAnsi="Arial" w:cs="Times New Roman" w:hint="eastAsia"/>
          <w:color w:val="007DB6"/>
          <w:kern w:val="0"/>
          <w:szCs w:val="21"/>
        </w:rPr>
        <w:t>1</w:t>
      </w:r>
      <w:r w:rsidRPr="007929C5">
        <w:rPr>
          <w:rFonts w:ascii="Arial" w:eastAsia="黑体" w:hAnsi="Arial" w:cs="Times New Roman" w:hint="eastAsia"/>
          <w:color w:val="007DB6"/>
          <w:kern w:val="0"/>
          <w:szCs w:val="21"/>
        </w:rPr>
        <w:t>．</w:t>
      </w:r>
      <w:r>
        <w:rPr>
          <w:rFonts w:ascii="Arial" w:eastAsia="黑体" w:hAnsi="Arial" w:cs="Times New Roman" w:hint="eastAsia"/>
          <w:color w:val="007DB6"/>
          <w:kern w:val="0"/>
          <w:szCs w:val="21"/>
        </w:rPr>
        <w:t>上海市</w:t>
      </w:r>
    </w:p>
    <w:p w14:paraId="45659748" w14:textId="77777777" w:rsidR="00A2440D" w:rsidRPr="00A155E6" w:rsidRDefault="00A2440D" w:rsidP="00A2440D">
      <w:pPr>
        <w:topLinePunct/>
        <w:adjustRightInd w:val="0"/>
        <w:jc w:val="center"/>
        <w:rPr>
          <w:rFonts w:ascii="Times New Roman" w:eastAsia="宋体" w:hAnsi="Times New Roman" w:cs="Times New Roman"/>
          <w:color w:val="000000"/>
          <w:kern w:val="21"/>
          <w:szCs w:val="21"/>
        </w:rPr>
      </w:pPr>
      <w:r w:rsidRPr="00A155E6">
        <w:rPr>
          <w:rFonts w:ascii="Times New Roman" w:eastAsia="宋体" w:hAnsi="Times New Roman" w:cs="Times New Roman"/>
          <w:noProof/>
          <w:color w:val="000000"/>
          <w:kern w:val="21"/>
          <w:szCs w:val="21"/>
        </w:rPr>
        <w:drawing>
          <wp:inline distT="0" distB="0" distL="0" distR="0" wp14:anchorId="36A5455F" wp14:editId="3BE763C9">
            <wp:extent cx="4318000" cy="2118698"/>
            <wp:effectExtent l="0" t="0" r="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4706" cy="2121989"/>
                    </a:xfrm>
                    <a:prstGeom prst="rect">
                      <a:avLst/>
                    </a:prstGeom>
                    <a:noFill/>
                    <a:ln>
                      <a:noFill/>
                    </a:ln>
                  </pic:spPr>
                </pic:pic>
              </a:graphicData>
            </a:graphic>
          </wp:inline>
        </w:drawing>
      </w:r>
    </w:p>
    <w:p w14:paraId="65697E52" w14:textId="01703B9A" w:rsidR="00A2440D" w:rsidRPr="00A155E6" w:rsidRDefault="00A2440D" w:rsidP="00A2440D">
      <w:pPr>
        <w:topLinePunct/>
        <w:adjustRightInd w:val="0"/>
        <w:spacing w:before="40" w:after="320"/>
        <w:jc w:val="center"/>
        <w:rPr>
          <w:rFonts w:ascii="Arial" w:eastAsia="黑体" w:hAnsi="Arial" w:cs="Times New Roman"/>
          <w:kern w:val="18"/>
          <w:sz w:val="18"/>
          <w:szCs w:val="24"/>
          <w:lang w:eastAsia="zh-TW"/>
        </w:rPr>
      </w:pPr>
      <w:r w:rsidRPr="00A155E6">
        <w:rPr>
          <w:rFonts w:ascii="Arial" w:eastAsia="黑体" w:hAnsi="Arial" w:cs="Times New Roman" w:hint="eastAsia"/>
          <w:kern w:val="18"/>
          <w:sz w:val="18"/>
          <w:szCs w:val="24"/>
          <w:lang w:eastAsia="zh-TW"/>
        </w:rPr>
        <w:t>图</w:t>
      </w:r>
      <w:r>
        <w:rPr>
          <w:rFonts w:ascii="Arial" w:eastAsia="黑体" w:hAnsi="Arial" w:cs="Times New Roman"/>
          <w:kern w:val="18"/>
          <w:sz w:val="18"/>
          <w:szCs w:val="24"/>
          <w:lang w:eastAsia="zh-TW"/>
        </w:rPr>
        <w:t>3</w:t>
      </w:r>
      <w:r w:rsidRPr="00A155E6">
        <w:rPr>
          <w:rFonts w:ascii="Arial" w:eastAsia="黑体" w:hAnsi="Arial" w:cs="Times New Roman"/>
          <w:kern w:val="18"/>
          <w:sz w:val="18"/>
          <w:szCs w:val="24"/>
          <w:lang w:eastAsia="zh-TW"/>
        </w:rPr>
        <w:t xml:space="preserve"> </w:t>
      </w:r>
      <w:r>
        <w:rPr>
          <w:rFonts w:ascii="Arial" w:eastAsia="黑体" w:hAnsi="Arial" w:cs="Times New Roman" w:hint="eastAsia"/>
          <w:kern w:val="18"/>
          <w:sz w:val="18"/>
          <w:szCs w:val="24"/>
          <w:lang w:eastAsia="zh-TW"/>
        </w:rPr>
        <w:t>上海市</w:t>
      </w:r>
      <w:r w:rsidRPr="00A155E6">
        <w:rPr>
          <w:rFonts w:ascii="Arial" w:eastAsia="黑体" w:hAnsi="Arial" w:cs="Times New Roman"/>
          <w:kern w:val="18"/>
          <w:sz w:val="18"/>
          <w:szCs w:val="24"/>
          <w:lang w:eastAsia="zh-TW"/>
        </w:rPr>
        <w:t>2020</w:t>
      </w:r>
      <w:r w:rsidRPr="00A155E6">
        <w:rPr>
          <w:rFonts w:ascii="Arial" w:eastAsia="黑体" w:hAnsi="Arial" w:cs="Times New Roman" w:hint="eastAsia"/>
          <w:kern w:val="18"/>
          <w:sz w:val="18"/>
          <w:szCs w:val="24"/>
          <w:lang w:eastAsia="zh-TW"/>
        </w:rPr>
        <w:t>年和</w:t>
      </w:r>
      <w:r w:rsidRPr="00A155E6">
        <w:rPr>
          <w:rFonts w:ascii="Arial" w:eastAsia="黑体" w:hAnsi="Arial" w:cs="Times New Roman" w:hint="eastAsia"/>
          <w:kern w:val="18"/>
          <w:sz w:val="18"/>
          <w:szCs w:val="24"/>
          <w:lang w:eastAsia="zh-TW"/>
        </w:rPr>
        <w:t>2</w:t>
      </w:r>
      <w:r w:rsidRPr="00A155E6">
        <w:rPr>
          <w:rFonts w:ascii="Arial" w:eastAsia="黑体" w:hAnsi="Arial" w:cs="Times New Roman"/>
          <w:kern w:val="18"/>
          <w:sz w:val="18"/>
          <w:szCs w:val="24"/>
          <w:lang w:eastAsia="zh-TW"/>
        </w:rPr>
        <w:t>030</w:t>
      </w:r>
      <w:r w:rsidRPr="00A155E6">
        <w:rPr>
          <w:rFonts w:ascii="Arial" w:eastAsia="黑体" w:hAnsi="Arial" w:cs="Times New Roman" w:hint="eastAsia"/>
          <w:kern w:val="18"/>
          <w:sz w:val="18"/>
          <w:szCs w:val="24"/>
          <w:lang w:eastAsia="zh-TW"/>
        </w:rPr>
        <w:t>年相对于</w:t>
      </w:r>
      <w:r w:rsidR="00937FD6">
        <w:rPr>
          <w:rFonts w:ascii="Arial" w:eastAsia="黑体" w:hAnsi="Arial" w:cs="Times New Roman" w:hint="eastAsia"/>
          <w:kern w:val="18"/>
          <w:sz w:val="18"/>
          <w:szCs w:val="24"/>
          <w:lang w:eastAsia="zh-TW"/>
        </w:rPr>
        <w:t>基准</w:t>
      </w:r>
      <w:r w:rsidRPr="00A155E6">
        <w:rPr>
          <w:rFonts w:ascii="Arial" w:eastAsia="黑体" w:hAnsi="Arial" w:cs="Times New Roman" w:hint="eastAsia"/>
          <w:kern w:val="18"/>
          <w:sz w:val="18"/>
          <w:szCs w:val="24"/>
          <w:lang w:eastAsia="zh-TW"/>
        </w:rPr>
        <w:t>情景</w:t>
      </w:r>
      <w:r w:rsidR="00937FD6">
        <w:rPr>
          <w:rFonts w:ascii="Arial" w:eastAsia="黑体" w:hAnsi="Arial" w:cs="Times New Roman" w:hint="eastAsia"/>
          <w:kern w:val="18"/>
          <w:sz w:val="18"/>
          <w:szCs w:val="24"/>
          <w:lang w:eastAsia="zh-TW"/>
        </w:rPr>
        <w:t>碳限额（</w:t>
      </w:r>
      <w:r w:rsidR="00937FD6">
        <w:rPr>
          <w:rFonts w:ascii="Arial" w:eastAsia="黑体" w:hAnsi="Arial" w:cs="Times New Roman" w:hint="eastAsia"/>
          <w:kern w:val="18"/>
          <w:sz w:val="18"/>
          <w:szCs w:val="24"/>
        </w:rPr>
        <w:t>C</w:t>
      </w:r>
      <w:r w:rsidR="00937FD6">
        <w:rPr>
          <w:rFonts w:ascii="Arial" w:eastAsia="黑体" w:hAnsi="Arial" w:cs="Times New Roman"/>
          <w:kern w:val="18"/>
          <w:sz w:val="18"/>
          <w:szCs w:val="24"/>
        </w:rPr>
        <w:t>AP</w:t>
      </w:r>
      <w:r w:rsidR="00937FD6">
        <w:rPr>
          <w:rFonts w:ascii="Arial" w:eastAsia="黑体" w:hAnsi="Arial" w:cs="Times New Roman" w:hint="eastAsia"/>
          <w:kern w:val="18"/>
          <w:sz w:val="18"/>
          <w:szCs w:val="24"/>
          <w:lang w:eastAsia="zh-TW"/>
        </w:rPr>
        <w:t>）</w:t>
      </w:r>
      <w:r w:rsidRPr="00A155E6">
        <w:rPr>
          <w:rFonts w:ascii="Arial" w:eastAsia="黑体" w:hAnsi="Arial" w:cs="Times New Roman" w:hint="eastAsia"/>
          <w:kern w:val="18"/>
          <w:sz w:val="18"/>
          <w:szCs w:val="24"/>
          <w:lang w:eastAsia="zh-TW"/>
        </w:rPr>
        <w:t>和</w:t>
      </w:r>
      <w:r w:rsidR="00937FD6">
        <w:rPr>
          <w:rFonts w:ascii="Arial" w:eastAsia="黑体" w:hAnsi="Arial" w:cs="Times New Roman" w:hint="eastAsia"/>
          <w:kern w:val="18"/>
          <w:sz w:val="18"/>
          <w:szCs w:val="24"/>
          <w:lang w:eastAsia="zh-TW"/>
        </w:rPr>
        <w:t>碳交易（</w:t>
      </w:r>
      <w:r w:rsidR="00937FD6">
        <w:rPr>
          <w:rFonts w:ascii="Arial" w:eastAsia="黑体" w:hAnsi="Arial" w:cs="Times New Roman" w:hint="eastAsia"/>
          <w:kern w:val="18"/>
          <w:sz w:val="18"/>
          <w:szCs w:val="24"/>
        </w:rPr>
        <w:t>E</w:t>
      </w:r>
      <w:r w:rsidR="00937FD6">
        <w:rPr>
          <w:rFonts w:ascii="Arial" w:eastAsia="黑体" w:hAnsi="Arial" w:cs="Times New Roman"/>
          <w:kern w:val="18"/>
          <w:sz w:val="18"/>
          <w:szCs w:val="24"/>
        </w:rPr>
        <w:t>TS</w:t>
      </w:r>
      <w:r w:rsidR="00937FD6">
        <w:rPr>
          <w:rFonts w:ascii="Arial" w:eastAsia="黑体" w:hAnsi="Arial" w:cs="Times New Roman" w:hint="eastAsia"/>
          <w:kern w:val="18"/>
          <w:sz w:val="18"/>
          <w:szCs w:val="24"/>
          <w:lang w:eastAsia="zh-TW"/>
        </w:rPr>
        <w:t>）</w:t>
      </w:r>
      <w:r w:rsidRPr="00A155E6">
        <w:rPr>
          <w:rFonts w:ascii="Arial" w:eastAsia="黑体" w:hAnsi="Arial" w:cs="Times New Roman" w:hint="eastAsia"/>
          <w:kern w:val="18"/>
          <w:sz w:val="18"/>
          <w:szCs w:val="24"/>
          <w:lang w:eastAsia="zh-TW"/>
        </w:rPr>
        <w:t>对于部门产出的影响</w:t>
      </w:r>
    </w:p>
    <w:p w14:paraId="1E3D9297" w14:textId="0F3E82E3" w:rsidR="00A654D0" w:rsidRDefault="00A654D0" w:rsidP="00A2440D">
      <w:pPr>
        <w:ind w:firstLineChars="200" w:firstLine="420"/>
      </w:pPr>
      <w:r w:rsidRPr="00937FD6">
        <w:rPr>
          <w:rFonts w:hint="eastAsia"/>
        </w:rPr>
        <w:t>由于碳限额政策对各部门的碳排放有限制，各部门的产出相对于</w:t>
      </w:r>
      <w:r>
        <w:rPr>
          <w:rFonts w:hint="eastAsia"/>
        </w:rPr>
        <w:t>基准</w:t>
      </w:r>
      <w:r w:rsidRPr="00937FD6">
        <w:t>情景均有不同程度的变化。这种变化对于加快产业转型有积极作用。由于碳密集型（碳强度高）和能源密集型（技术进步潜力低，边际减排成本高）部门</w:t>
      </w:r>
      <w:r w:rsidRPr="00937FD6">
        <w:rPr>
          <w:rFonts w:hint="eastAsia"/>
        </w:rPr>
        <w:t>碳强度</w:t>
      </w:r>
      <w:r w:rsidRPr="00937FD6">
        <w:t>和</w:t>
      </w:r>
      <w:r w:rsidRPr="00937FD6">
        <w:rPr>
          <w:rFonts w:hint="eastAsia"/>
        </w:rPr>
        <w:t>边际减排成本</w:t>
      </w:r>
      <w:r w:rsidRPr="00937FD6">
        <w:t>相对较高</w:t>
      </w:r>
      <w:r w:rsidR="00780CA4" w:rsidRPr="00937FD6">
        <w:t>，成本上升幅度和产出减少幅度较大</w:t>
      </w:r>
      <w:r w:rsidRPr="00937FD6">
        <w:t>，政策对于这些部门的影响程度</w:t>
      </w:r>
      <w:r w:rsidR="00780CA4">
        <w:rPr>
          <w:rFonts w:hint="eastAsia"/>
        </w:rPr>
        <w:t>也就</w:t>
      </w:r>
      <w:r w:rsidRPr="00937FD6">
        <w:t>较大。</w:t>
      </w:r>
      <w:r w:rsidR="00780CA4">
        <w:rPr>
          <w:rFonts w:hint="eastAsia"/>
        </w:rPr>
        <w:t>政策的实施</w:t>
      </w:r>
      <w:r w:rsidRPr="00937FD6">
        <w:rPr>
          <w:rFonts w:hint="eastAsia"/>
        </w:rPr>
        <w:t>将</w:t>
      </w:r>
      <w:r w:rsidRPr="00937FD6">
        <w:t>会降低碳密集部门的竞争力，推动产业低碳化、绿色化。</w:t>
      </w:r>
    </w:p>
    <w:p w14:paraId="1B20067A" w14:textId="3605B765" w:rsidR="00A2440D" w:rsidRDefault="00A2440D" w:rsidP="00A2440D">
      <w:pPr>
        <w:ind w:firstLineChars="200" w:firstLine="420"/>
      </w:pPr>
      <w:r w:rsidRPr="00A155E6">
        <w:rPr>
          <w:rFonts w:hint="eastAsia"/>
          <w:b/>
          <w:bCs/>
        </w:rPr>
        <w:t>在</w:t>
      </w:r>
      <w:r w:rsidRPr="00212D3C">
        <w:rPr>
          <w:rFonts w:hint="eastAsia"/>
          <w:b/>
          <w:bCs/>
        </w:rPr>
        <w:t>碳排放限额（C</w:t>
      </w:r>
      <w:r w:rsidRPr="00212D3C">
        <w:rPr>
          <w:b/>
          <w:bCs/>
        </w:rPr>
        <w:t>AP</w:t>
      </w:r>
      <w:r w:rsidRPr="00212D3C">
        <w:rPr>
          <w:rFonts w:hint="eastAsia"/>
          <w:b/>
          <w:bCs/>
        </w:rPr>
        <w:t>）</w:t>
      </w:r>
      <w:r w:rsidRPr="00A155E6">
        <w:rPr>
          <w:rFonts w:hint="eastAsia"/>
          <w:b/>
          <w:bCs/>
        </w:rPr>
        <w:t>情景中，</w:t>
      </w:r>
      <w:r w:rsidRPr="00A155E6">
        <w:rPr>
          <w:b/>
          <w:bCs/>
        </w:rPr>
        <w:t>大部分行业的经济产出</w:t>
      </w:r>
      <w:r w:rsidRPr="00A155E6">
        <w:rPr>
          <w:rFonts w:hint="eastAsia"/>
          <w:b/>
          <w:bCs/>
        </w:rPr>
        <w:t>将受到</w:t>
      </w:r>
      <w:r w:rsidRPr="00A155E6">
        <w:rPr>
          <w:b/>
          <w:bCs/>
        </w:rPr>
        <w:t>不同</w:t>
      </w:r>
      <w:r w:rsidRPr="00A155E6">
        <w:rPr>
          <w:rFonts w:hint="eastAsia"/>
          <w:b/>
          <w:bCs/>
        </w:rPr>
        <w:t>程度</w:t>
      </w:r>
      <w:r w:rsidRPr="00A155E6">
        <w:rPr>
          <w:b/>
          <w:bCs/>
        </w:rPr>
        <w:t>的损失</w:t>
      </w:r>
      <w:r w:rsidRPr="00A155E6">
        <w:t>，由于2030年碳排放上限更加严格，总产出损失将从1.9%增加到2.6%。</w:t>
      </w:r>
      <w:r w:rsidRPr="00A155E6">
        <w:rPr>
          <w:rFonts w:hint="eastAsia"/>
          <w:b/>
          <w:bCs/>
        </w:rPr>
        <w:t>在</w:t>
      </w:r>
      <w:r w:rsidRPr="00212D3C">
        <w:rPr>
          <w:rFonts w:hint="eastAsia"/>
          <w:b/>
          <w:bCs/>
        </w:rPr>
        <w:t>碳排放交易（E</w:t>
      </w:r>
      <w:r w:rsidRPr="00212D3C">
        <w:rPr>
          <w:b/>
          <w:bCs/>
        </w:rPr>
        <w:t>TS</w:t>
      </w:r>
      <w:r w:rsidRPr="00212D3C">
        <w:rPr>
          <w:rFonts w:hint="eastAsia"/>
          <w:b/>
          <w:bCs/>
        </w:rPr>
        <w:t>）</w:t>
      </w:r>
      <w:r w:rsidRPr="00A155E6">
        <w:rPr>
          <w:b/>
          <w:bCs/>
        </w:rPr>
        <w:t>情景中，</w:t>
      </w:r>
      <w:r w:rsidRPr="00A155E6">
        <w:rPr>
          <w:rFonts w:hint="eastAsia"/>
          <w:b/>
          <w:bCs/>
        </w:rPr>
        <w:t>通过碳排放交易可以降低</w:t>
      </w:r>
      <w:r w:rsidRPr="00A155E6">
        <w:rPr>
          <w:b/>
          <w:bCs/>
        </w:rPr>
        <w:t>总产出损失</w:t>
      </w:r>
      <w:r w:rsidRPr="00A155E6">
        <w:t>，</w:t>
      </w:r>
      <w:r w:rsidRPr="00A155E6">
        <w:rPr>
          <w:rFonts w:hint="eastAsia"/>
        </w:rPr>
        <w:t>但是对于各个部门的影响不同</w:t>
      </w:r>
      <w:r w:rsidR="00780CA4">
        <w:rPr>
          <w:rFonts w:hint="eastAsia"/>
        </w:rPr>
        <w:t>，其中钢铁产业影响最大，电力产业次之</w:t>
      </w:r>
      <w:r w:rsidRPr="00A155E6">
        <w:t>。</w:t>
      </w:r>
    </w:p>
    <w:p w14:paraId="0F748C01" w14:textId="134768A0" w:rsidR="00937FD6" w:rsidRPr="007929C5" w:rsidRDefault="00937FD6" w:rsidP="00937FD6">
      <w:pPr>
        <w:keepNext/>
        <w:keepLines/>
        <w:topLinePunct/>
        <w:adjustRightInd w:val="0"/>
        <w:spacing w:line="480" w:lineRule="auto"/>
        <w:ind w:firstLine="425"/>
        <w:outlineLvl w:val="4"/>
        <w:rPr>
          <w:rFonts w:ascii="Arial" w:eastAsia="黑体" w:hAnsi="Arial" w:cs="Times New Roman"/>
          <w:color w:val="007DB6"/>
          <w:kern w:val="0"/>
          <w:szCs w:val="21"/>
        </w:rPr>
      </w:pPr>
      <w:r>
        <w:rPr>
          <w:rFonts w:ascii="Arial" w:eastAsia="黑体" w:hAnsi="Arial" w:cs="Times New Roman"/>
          <w:color w:val="007DB6"/>
          <w:kern w:val="0"/>
          <w:szCs w:val="21"/>
        </w:rPr>
        <w:lastRenderedPageBreak/>
        <w:t>2</w:t>
      </w:r>
      <w:r w:rsidRPr="007929C5">
        <w:rPr>
          <w:rFonts w:ascii="Arial" w:eastAsia="黑体" w:hAnsi="Arial" w:cs="Times New Roman" w:hint="eastAsia"/>
          <w:color w:val="007DB6"/>
          <w:kern w:val="0"/>
          <w:szCs w:val="21"/>
        </w:rPr>
        <w:t>．</w:t>
      </w:r>
      <w:r>
        <w:rPr>
          <w:rFonts w:ascii="Arial" w:eastAsia="黑体" w:hAnsi="Arial" w:cs="Times New Roman" w:hint="eastAsia"/>
          <w:color w:val="007DB6"/>
          <w:kern w:val="0"/>
          <w:szCs w:val="21"/>
        </w:rPr>
        <w:t>广东省</w:t>
      </w:r>
    </w:p>
    <w:p w14:paraId="3940ED53" w14:textId="77777777" w:rsidR="00937FD6" w:rsidRPr="00937FD6" w:rsidRDefault="00937FD6" w:rsidP="00937FD6">
      <w:pPr>
        <w:topLinePunct/>
        <w:adjustRightInd w:val="0"/>
        <w:jc w:val="center"/>
        <w:rPr>
          <w:rFonts w:ascii="Times New Roman" w:eastAsia="宋体" w:hAnsi="Times New Roman" w:cs="Times New Roman"/>
          <w:color w:val="000000"/>
          <w:kern w:val="21"/>
          <w:szCs w:val="21"/>
        </w:rPr>
      </w:pPr>
      <w:r w:rsidRPr="00937FD6">
        <w:rPr>
          <w:rFonts w:ascii="Times New Roman" w:eastAsia="宋体" w:hAnsi="Times New Roman" w:cs="Times New Roman"/>
          <w:noProof/>
          <w:color w:val="000000"/>
          <w:kern w:val="21"/>
          <w:szCs w:val="21"/>
        </w:rPr>
        <w:drawing>
          <wp:inline distT="0" distB="0" distL="0" distR="0" wp14:anchorId="67098006" wp14:editId="7FC28928">
            <wp:extent cx="3556000" cy="3255850"/>
            <wp:effectExtent l="0" t="0" r="6350" b="1905"/>
            <wp:docPr id="2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6192" cy="3265182"/>
                    </a:xfrm>
                    <a:prstGeom prst="rect">
                      <a:avLst/>
                    </a:prstGeom>
                    <a:noFill/>
                    <a:ln>
                      <a:noFill/>
                    </a:ln>
                  </pic:spPr>
                </pic:pic>
              </a:graphicData>
            </a:graphic>
          </wp:inline>
        </w:drawing>
      </w:r>
    </w:p>
    <w:p w14:paraId="0ADD4E17" w14:textId="04B6C193" w:rsidR="00937FD6" w:rsidRPr="00937FD6" w:rsidRDefault="00937FD6" w:rsidP="00937FD6">
      <w:pPr>
        <w:topLinePunct/>
        <w:adjustRightInd w:val="0"/>
        <w:spacing w:before="40" w:after="320"/>
        <w:jc w:val="center"/>
        <w:rPr>
          <w:rFonts w:ascii="Arial" w:eastAsia="黑体" w:hAnsi="Arial" w:cs="Times New Roman"/>
          <w:kern w:val="18"/>
          <w:sz w:val="18"/>
          <w:szCs w:val="24"/>
          <w:lang w:eastAsia="zh-TW"/>
        </w:rPr>
      </w:pPr>
      <w:r w:rsidRPr="00937FD6">
        <w:rPr>
          <w:rFonts w:ascii="Arial" w:eastAsia="黑体" w:hAnsi="Arial" w:cs="Times New Roman" w:hint="eastAsia"/>
          <w:kern w:val="18"/>
          <w:sz w:val="18"/>
          <w:szCs w:val="24"/>
          <w:lang w:eastAsia="zh-TW"/>
        </w:rPr>
        <w:t>图</w:t>
      </w:r>
      <w:r w:rsidR="001A532E">
        <w:rPr>
          <w:rFonts w:ascii="Arial" w:eastAsia="黑体" w:hAnsi="Arial" w:cs="Times New Roman"/>
          <w:kern w:val="18"/>
          <w:sz w:val="18"/>
          <w:szCs w:val="24"/>
          <w:lang w:eastAsia="zh-TW"/>
        </w:rPr>
        <w:t>4</w:t>
      </w:r>
      <w:r w:rsidRPr="00937FD6">
        <w:rPr>
          <w:rFonts w:ascii="Arial" w:eastAsia="黑体" w:hAnsi="Arial" w:cs="Times New Roman"/>
          <w:kern w:val="18"/>
          <w:sz w:val="18"/>
          <w:szCs w:val="24"/>
          <w:lang w:eastAsia="zh-TW"/>
        </w:rPr>
        <w:t xml:space="preserve"> </w:t>
      </w:r>
      <w:r w:rsidR="00C46F46">
        <w:rPr>
          <w:rFonts w:ascii="Arial" w:eastAsia="黑体" w:hAnsi="Arial" w:cs="Times New Roman" w:hint="eastAsia"/>
          <w:kern w:val="18"/>
          <w:sz w:val="18"/>
          <w:szCs w:val="24"/>
          <w:lang w:eastAsia="zh-TW"/>
        </w:rPr>
        <w:t>广东省</w:t>
      </w:r>
      <w:r w:rsidRPr="00937FD6">
        <w:rPr>
          <w:rFonts w:ascii="Arial" w:eastAsia="黑体" w:hAnsi="Arial" w:cs="Times New Roman"/>
          <w:kern w:val="18"/>
          <w:sz w:val="18"/>
          <w:szCs w:val="24"/>
          <w:lang w:eastAsia="zh-TW"/>
        </w:rPr>
        <w:t>2030</w:t>
      </w:r>
      <w:r w:rsidRPr="00937FD6">
        <w:rPr>
          <w:rFonts w:ascii="Arial" w:eastAsia="黑体" w:hAnsi="Arial" w:cs="Times New Roman"/>
          <w:kern w:val="18"/>
          <w:sz w:val="18"/>
          <w:szCs w:val="24"/>
          <w:lang w:eastAsia="zh-TW"/>
        </w:rPr>
        <w:t>年不同</w:t>
      </w:r>
      <w:r w:rsidRPr="00937FD6">
        <w:rPr>
          <w:rFonts w:ascii="Arial" w:eastAsia="黑体" w:hAnsi="Arial" w:cs="Times New Roman" w:hint="eastAsia"/>
          <w:kern w:val="18"/>
          <w:sz w:val="18"/>
          <w:szCs w:val="24"/>
          <w:lang w:eastAsia="zh-TW"/>
        </w:rPr>
        <w:t>情景</w:t>
      </w:r>
      <w:r w:rsidRPr="00937FD6">
        <w:rPr>
          <w:rFonts w:ascii="Arial" w:eastAsia="黑体" w:hAnsi="Arial" w:cs="Times New Roman"/>
          <w:kern w:val="18"/>
          <w:sz w:val="18"/>
          <w:szCs w:val="24"/>
          <w:lang w:eastAsia="zh-TW"/>
        </w:rPr>
        <w:t>下各部门产出相对于</w:t>
      </w:r>
      <w:r w:rsidRPr="00937FD6">
        <w:rPr>
          <w:rFonts w:ascii="Arial" w:eastAsia="黑体" w:hAnsi="Arial" w:cs="Times New Roman"/>
          <w:kern w:val="18"/>
          <w:sz w:val="18"/>
          <w:szCs w:val="24"/>
          <w:lang w:eastAsia="zh-TW"/>
        </w:rPr>
        <w:t>B</w:t>
      </w:r>
      <w:r w:rsidRPr="00937FD6">
        <w:rPr>
          <w:rFonts w:ascii="Arial" w:eastAsia="黑体" w:hAnsi="Arial" w:cs="Times New Roman" w:hint="eastAsia"/>
          <w:kern w:val="18"/>
          <w:sz w:val="18"/>
          <w:szCs w:val="24"/>
          <w:lang w:eastAsia="zh-TW"/>
        </w:rPr>
        <w:t>a</w:t>
      </w:r>
      <w:r w:rsidRPr="00937FD6">
        <w:rPr>
          <w:rFonts w:ascii="Arial" w:eastAsia="黑体" w:hAnsi="Arial" w:cs="Times New Roman"/>
          <w:kern w:val="18"/>
          <w:sz w:val="18"/>
          <w:szCs w:val="24"/>
          <w:lang w:eastAsia="zh-TW"/>
        </w:rPr>
        <w:t>U</w:t>
      </w:r>
      <w:r w:rsidRPr="00937FD6">
        <w:rPr>
          <w:rFonts w:ascii="Arial" w:eastAsia="黑体" w:hAnsi="Arial" w:cs="Times New Roman" w:hint="eastAsia"/>
          <w:kern w:val="18"/>
          <w:sz w:val="18"/>
          <w:szCs w:val="24"/>
          <w:lang w:eastAsia="zh-TW"/>
        </w:rPr>
        <w:t>情景</w:t>
      </w:r>
      <w:r w:rsidRPr="00937FD6">
        <w:rPr>
          <w:rFonts w:ascii="Arial" w:eastAsia="黑体" w:hAnsi="Arial" w:cs="Times New Roman"/>
          <w:kern w:val="18"/>
          <w:sz w:val="18"/>
          <w:szCs w:val="24"/>
          <w:lang w:eastAsia="zh-TW"/>
        </w:rPr>
        <w:t>的变化</w:t>
      </w:r>
    </w:p>
    <w:p w14:paraId="69216938" w14:textId="1665878E" w:rsidR="00937FD6" w:rsidRPr="00937FD6" w:rsidRDefault="00937FD6" w:rsidP="00937FD6">
      <w:pPr>
        <w:ind w:firstLineChars="200" w:firstLine="420"/>
      </w:pPr>
      <w:r w:rsidRPr="00937FD6">
        <w:rPr>
          <w:rFonts w:hint="eastAsia"/>
        </w:rPr>
        <w:t>图</w:t>
      </w:r>
      <w:r w:rsidR="00237E1C">
        <w:t>4</w:t>
      </w:r>
      <w:r w:rsidRPr="00937FD6">
        <w:t>中</w:t>
      </w:r>
      <w:r w:rsidR="009D100D">
        <w:rPr>
          <w:rFonts w:hint="eastAsia"/>
        </w:rPr>
        <w:t>深</w:t>
      </w:r>
      <w:r w:rsidRPr="00937FD6">
        <w:rPr>
          <w:rFonts w:hint="eastAsia"/>
        </w:rPr>
        <w:t>紫色条形</w:t>
      </w:r>
      <w:r w:rsidRPr="00937FD6">
        <w:t>代表了</w:t>
      </w:r>
      <w:r w:rsidR="00237E1C">
        <w:rPr>
          <w:rFonts w:hint="eastAsia"/>
        </w:rPr>
        <w:t>碳配额（C</w:t>
      </w:r>
      <w:r w:rsidR="00237E1C">
        <w:t>AP</w:t>
      </w:r>
      <w:r w:rsidR="00237E1C">
        <w:rPr>
          <w:rFonts w:hint="eastAsia"/>
        </w:rPr>
        <w:t>）</w:t>
      </w:r>
      <w:r w:rsidRPr="00937FD6">
        <w:t>情景相对于</w:t>
      </w:r>
      <w:r w:rsidR="00237E1C">
        <w:rPr>
          <w:rFonts w:hint="eastAsia"/>
        </w:rPr>
        <w:t>基准</w:t>
      </w:r>
      <w:r w:rsidRPr="00937FD6">
        <w:t>情景的变化，</w:t>
      </w:r>
      <w:r w:rsidR="00237E1C">
        <w:rPr>
          <w:rFonts w:hint="eastAsia"/>
        </w:rPr>
        <w:t>反映</w:t>
      </w:r>
      <w:r w:rsidRPr="00937FD6">
        <w:t>了</w:t>
      </w:r>
      <w:r w:rsidR="00237E1C">
        <w:rPr>
          <w:rFonts w:hint="eastAsia"/>
        </w:rPr>
        <w:t>碳限额</w:t>
      </w:r>
      <w:r w:rsidRPr="00937FD6">
        <w:t>政策带来的部门产出的变化</w:t>
      </w:r>
      <w:r w:rsidR="00237E1C">
        <w:rPr>
          <w:rFonts w:hint="eastAsia"/>
        </w:rPr>
        <w:t>，</w:t>
      </w:r>
      <w:r w:rsidR="008048AD">
        <w:rPr>
          <w:rFonts w:hint="eastAsia"/>
        </w:rPr>
        <w:t>可以看出，</w:t>
      </w:r>
      <w:r w:rsidR="0077733A" w:rsidRPr="00937FD6">
        <w:rPr>
          <w:rFonts w:hint="eastAsia"/>
        </w:rPr>
        <w:t>焦炭业</w:t>
      </w:r>
      <w:r w:rsidR="0077733A" w:rsidRPr="00937FD6">
        <w:t>、</w:t>
      </w:r>
      <w:r w:rsidR="0077733A" w:rsidRPr="00937FD6">
        <w:rPr>
          <w:rFonts w:hint="eastAsia"/>
        </w:rPr>
        <w:t>石油部门、</w:t>
      </w:r>
      <w:r w:rsidRPr="00937FD6">
        <w:rPr>
          <w:rFonts w:hint="eastAsia"/>
        </w:rPr>
        <w:t>航空运输业</w:t>
      </w:r>
      <w:r w:rsidRPr="00937FD6">
        <w:t>、</w:t>
      </w:r>
      <w:r w:rsidRPr="00937FD6">
        <w:rPr>
          <w:rFonts w:hint="eastAsia"/>
        </w:rPr>
        <w:t>电力部门</w:t>
      </w:r>
      <w:r w:rsidRPr="00937FD6">
        <w:t>四个部门产出减少幅度最大，而</w:t>
      </w:r>
      <w:r w:rsidRPr="00937FD6">
        <w:rPr>
          <w:rFonts w:hint="eastAsia"/>
        </w:rPr>
        <w:t>纺织业</w:t>
      </w:r>
      <w:r w:rsidRPr="00937FD6">
        <w:t>和</w:t>
      </w:r>
      <w:r w:rsidRPr="00937FD6">
        <w:rPr>
          <w:rFonts w:hint="eastAsia"/>
        </w:rPr>
        <w:t>铁路运输业</w:t>
      </w:r>
      <w:r w:rsidRPr="00937FD6">
        <w:t>减少幅度相对较少，</w:t>
      </w:r>
      <w:r w:rsidR="000528AC">
        <w:rPr>
          <w:rFonts w:hint="eastAsia"/>
        </w:rPr>
        <w:t>这可以</w:t>
      </w:r>
      <w:r w:rsidRPr="00937FD6">
        <w:t>进一步加快产业结构的调整，减少碳密集型和能源密集型产业。</w:t>
      </w:r>
    </w:p>
    <w:p w14:paraId="64E45917" w14:textId="61476B3F" w:rsidR="00937FD6" w:rsidRPr="00937FD6" w:rsidRDefault="00937FD6" w:rsidP="00937FD6">
      <w:pPr>
        <w:ind w:firstLineChars="200" w:firstLine="420"/>
      </w:pPr>
      <w:r w:rsidRPr="00937FD6">
        <w:rPr>
          <w:rFonts w:hint="eastAsia"/>
        </w:rPr>
        <w:t>在</w:t>
      </w:r>
      <w:r w:rsidR="00D3207E">
        <w:rPr>
          <w:rFonts w:hint="eastAsia"/>
        </w:rPr>
        <w:t>碳限额（C</w:t>
      </w:r>
      <w:r w:rsidR="00D3207E">
        <w:t>AP</w:t>
      </w:r>
      <w:r w:rsidR="00D3207E">
        <w:rPr>
          <w:rFonts w:hint="eastAsia"/>
        </w:rPr>
        <w:t>）</w:t>
      </w:r>
      <w:r w:rsidRPr="00937FD6">
        <w:t>政策的基础上，</w:t>
      </w:r>
      <w:r w:rsidRPr="005B7CD2">
        <w:rPr>
          <w:b/>
          <w:bCs/>
        </w:rPr>
        <w:t>碳交易机制通过加入对减排的激励机制，改变了各部门之间的行为，从而对部门的产出造成影响。</w:t>
      </w:r>
      <w:bookmarkStart w:id="7" w:name="_Hlk19961249"/>
      <w:r w:rsidRPr="00937FD6">
        <w:t>通过比较同种颜色不同深浅的</w:t>
      </w:r>
      <w:r w:rsidR="0088753C">
        <w:rPr>
          <w:rFonts w:hint="eastAsia"/>
        </w:rPr>
        <w:t>柱子的长度</w:t>
      </w:r>
      <w:bookmarkEnd w:id="7"/>
      <w:r w:rsidRPr="00937FD6">
        <w:t>，可以看到</w:t>
      </w:r>
      <w:r w:rsidR="00D900C4">
        <w:rPr>
          <w:rFonts w:hint="eastAsia"/>
        </w:rPr>
        <w:t>碳交易</w:t>
      </w:r>
      <w:r w:rsidRPr="00937FD6">
        <w:t>政策带来的部门产出的变化，在加入碳市场后，</w:t>
      </w:r>
      <w:r w:rsidR="00E63D7F">
        <w:rPr>
          <w:rFonts w:hint="eastAsia"/>
        </w:rPr>
        <w:t>静态分配碳交易（</w:t>
      </w:r>
      <w:r w:rsidR="00E63D7F" w:rsidRPr="00937FD6">
        <w:t>ET</w:t>
      </w:r>
      <w:r w:rsidR="00E63D7F">
        <w:t xml:space="preserve"> </w:t>
      </w:r>
      <w:r w:rsidR="00E63D7F" w:rsidRPr="00937FD6">
        <w:t>SHR07</w:t>
      </w:r>
      <w:r w:rsidR="00E63D7F">
        <w:rPr>
          <w:rFonts w:hint="eastAsia"/>
        </w:rPr>
        <w:t>）</w:t>
      </w:r>
      <w:r w:rsidRPr="00937FD6">
        <w:t>情景下纺织和造纸部门产出相对于</w:t>
      </w:r>
      <w:r w:rsidR="00E63D7F">
        <w:rPr>
          <w:rFonts w:hint="eastAsia"/>
        </w:rPr>
        <w:t>静态分配碳限额（</w:t>
      </w:r>
      <w:r w:rsidR="00E63D7F" w:rsidRPr="00937FD6">
        <w:t>CAP</w:t>
      </w:r>
      <w:r w:rsidR="00E63D7F">
        <w:t xml:space="preserve"> </w:t>
      </w:r>
      <w:r w:rsidR="00E63D7F" w:rsidRPr="00937FD6">
        <w:t>SHR07</w:t>
      </w:r>
      <w:r w:rsidR="00E63D7F">
        <w:rPr>
          <w:rFonts w:hint="eastAsia"/>
        </w:rPr>
        <w:t>）</w:t>
      </w:r>
      <w:r w:rsidRPr="00937FD6">
        <w:t>情景分别下降了11%和13%，</w:t>
      </w:r>
      <w:r w:rsidR="00E63D7F">
        <w:rPr>
          <w:rFonts w:hint="eastAsia"/>
        </w:rPr>
        <w:t>动态分配碳</w:t>
      </w:r>
      <w:r w:rsidR="00ED144B">
        <w:rPr>
          <w:rFonts w:hint="eastAsia"/>
        </w:rPr>
        <w:t>限额</w:t>
      </w:r>
      <w:r w:rsidR="00E63D7F">
        <w:rPr>
          <w:rFonts w:hint="eastAsia"/>
        </w:rPr>
        <w:t>（</w:t>
      </w:r>
      <w:r w:rsidR="00ED144B">
        <w:t xml:space="preserve">ET </w:t>
      </w:r>
      <w:r w:rsidRPr="00937FD6">
        <w:t>SHRbau</w:t>
      </w:r>
      <w:r w:rsidR="00E63D7F">
        <w:rPr>
          <w:rFonts w:hint="eastAsia"/>
        </w:rPr>
        <w:t>）</w:t>
      </w:r>
      <w:r w:rsidRPr="00937FD6">
        <w:t>情景下航空和焦炭</w:t>
      </w:r>
      <w:r w:rsidR="00ED144B">
        <w:rPr>
          <w:rFonts w:hint="eastAsia"/>
        </w:rPr>
        <w:t>部门</w:t>
      </w:r>
      <w:r w:rsidRPr="00937FD6">
        <w:t>相对于</w:t>
      </w:r>
      <w:r w:rsidR="00E63D7F">
        <w:rPr>
          <w:rFonts w:hint="eastAsia"/>
        </w:rPr>
        <w:t>动态分配碳</w:t>
      </w:r>
      <w:r w:rsidR="00ED144B">
        <w:rPr>
          <w:rFonts w:hint="eastAsia"/>
        </w:rPr>
        <w:t>限额</w:t>
      </w:r>
      <w:r w:rsidR="00E63D7F">
        <w:rPr>
          <w:rFonts w:hint="eastAsia"/>
        </w:rPr>
        <w:t>（</w:t>
      </w:r>
      <w:r w:rsidR="00ED144B">
        <w:t>CAP</w:t>
      </w:r>
      <w:r w:rsidR="00E63D7F">
        <w:t xml:space="preserve"> </w:t>
      </w:r>
      <w:r w:rsidRPr="00937FD6">
        <w:t>SHRbau</w:t>
      </w:r>
      <w:r w:rsidR="00E63D7F">
        <w:rPr>
          <w:rFonts w:hint="eastAsia"/>
        </w:rPr>
        <w:t>）</w:t>
      </w:r>
      <w:r w:rsidR="00ED144B">
        <w:rPr>
          <w:rFonts w:hint="eastAsia"/>
        </w:rPr>
        <w:t>情景</w:t>
      </w:r>
      <w:r w:rsidRPr="00937FD6">
        <w:t>分别下降了13%和8%，这些部门共同的特点是</w:t>
      </w:r>
      <w:r w:rsidRPr="00937FD6">
        <w:rPr>
          <w:rFonts w:hint="eastAsia"/>
        </w:rPr>
        <w:t>边际碳减排成本</w:t>
      </w:r>
      <w:r w:rsidRPr="00937FD6">
        <w:t>相对于其他部门较低，在碳市场中这些部门更</w:t>
      </w:r>
      <w:r w:rsidRPr="00937FD6">
        <w:rPr>
          <w:rFonts w:hint="eastAsia"/>
        </w:rPr>
        <w:t>倾向于卖出碳排放权获得收益，而非通过生产来获益，所以它们的产出都减少了。与此相反，</w:t>
      </w:r>
      <w:r w:rsidR="00ED144B">
        <w:rPr>
          <w:rFonts w:hint="eastAsia"/>
        </w:rPr>
        <w:t>静态分配碳交易（</w:t>
      </w:r>
      <w:r w:rsidR="00ED144B" w:rsidRPr="00937FD6">
        <w:t>ET</w:t>
      </w:r>
      <w:r w:rsidR="00ED144B">
        <w:t xml:space="preserve"> </w:t>
      </w:r>
      <w:r w:rsidR="00ED144B" w:rsidRPr="00937FD6">
        <w:t>SHR07</w:t>
      </w:r>
      <w:r w:rsidR="00ED144B">
        <w:rPr>
          <w:rFonts w:hint="eastAsia"/>
        </w:rPr>
        <w:t>）</w:t>
      </w:r>
      <w:r w:rsidRPr="00937FD6">
        <w:t>情景下石油、焦炭、电力部门有着</w:t>
      </w:r>
      <w:r w:rsidRPr="00937FD6">
        <w:rPr>
          <w:rFonts w:hint="eastAsia"/>
        </w:rPr>
        <w:t>较</w:t>
      </w:r>
      <w:r w:rsidRPr="00937FD6">
        <w:t>高的</w:t>
      </w:r>
      <w:r w:rsidRPr="00937FD6">
        <w:rPr>
          <w:rFonts w:hint="eastAsia"/>
        </w:rPr>
        <w:t>边际碳减排成本</w:t>
      </w:r>
      <w:r w:rsidRPr="00937FD6">
        <w:t>，在碳市场中倾向于买入碳排放权，通过扩大生产来获益，</w:t>
      </w:r>
      <w:r w:rsidR="00ED144B">
        <w:rPr>
          <w:rFonts w:hint="eastAsia"/>
        </w:rPr>
        <w:t>动态分配碳交易（</w:t>
      </w:r>
      <w:r w:rsidR="00ED144B" w:rsidRPr="00937FD6">
        <w:t>ET</w:t>
      </w:r>
      <w:r w:rsidR="00ED144B">
        <w:t xml:space="preserve"> </w:t>
      </w:r>
      <w:r w:rsidR="00ED144B" w:rsidRPr="00937FD6">
        <w:t>SHRbau</w:t>
      </w:r>
      <w:r w:rsidR="00ED144B">
        <w:rPr>
          <w:rFonts w:hint="eastAsia"/>
        </w:rPr>
        <w:t>）</w:t>
      </w:r>
      <w:r w:rsidRPr="00937FD6">
        <w:t>情景下也是如此，电力和铁路由于有着较高的</w:t>
      </w:r>
      <w:r w:rsidR="00ED144B">
        <w:rPr>
          <w:rFonts w:hint="eastAsia"/>
        </w:rPr>
        <w:t>边际减排成本</w:t>
      </w:r>
      <w:r w:rsidRPr="00937FD6">
        <w:t>，在碳市场中通过买入碳排放权扩大生产来获益，所以它们的产出增加。</w:t>
      </w:r>
    </w:p>
    <w:p w14:paraId="273ABD4B" w14:textId="4907D793" w:rsidR="00937FD6" w:rsidRPr="00937FD6" w:rsidRDefault="00937FD6" w:rsidP="00937FD6">
      <w:pPr>
        <w:ind w:firstLineChars="200" w:firstLine="420"/>
      </w:pPr>
      <w:r w:rsidRPr="00937FD6">
        <w:rPr>
          <w:rFonts w:hint="eastAsia"/>
        </w:rPr>
        <w:t>此外，</w:t>
      </w:r>
      <w:r w:rsidRPr="005B7CD2">
        <w:rPr>
          <w:rFonts w:hint="eastAsia"/>
          <w:b/>
          <w:bCs/>
        </w:rPr>
        <w:t>不同的碳配额方式也将影响</w:t>
      </w:r>
      <w:r w:rsidR="008B01C0" w:rsidRPr="005B7CD2">
        <w:rPr>
          <w:rFonts w:hint="eastAsia"/>
          <w:b/>
          <w:bCs/>
        </w:rPr>
        <w:t>碳交易</w:t>
      </w:r>
      <w:r w:rsidRPr="005B7CD2">
        <w:rPr>
          <w:b/>
          <w:bCs/>
        </w:rPr>
        <w:t>对于各部门产出的影响。</w:t>
      </w:r>
      <w:r w:rsidR="005B7CD2" w:rsidRPr="00937FD6">
        <w:rPr>
          <w:rFonts w:hint="eastAsia"/>
        </w:rPr>
        <w:t>此外，不同的碳配额方式对于产出也有着重要的影响，分配给一个部门的碳配额越多，其边际减排成本越低，成本上升越小，产出降低更少，更具有竞争力，反之亦然。</w:t>
      </w:r>
      <w:r w:rsidRPr="00937FD6">
        <w:t>如</w:t>
      </w:r>
      <w:r w:rsidRPr="00937FD6">
        <w:rPr>
          <w:rFonts w:hint="eastAsia"/>
        </w:rPr>
        <w:t>图</w:t>
      </w:r>
      <w:r w:rsidR="008B01C0">
        <w:t>4</w:t>
      </w:r>
      <w:r w:rsidRPr="00937FD6">
        <w:t>所示，</w:t>
      </w:r>
      <w:r w:rsidR="008B01C0">
        <w:rPr>
          <w:rFonts w:hint="eastAsia"/>
        </w:rPr>
        <w:t>静态分配碳交易（</w:t>
      </w:r>
      <w:r w:rsidR="008B01C0" w:rsidRPr="00937FD6">
        <w:t>ET</w:t>
      </w:r>
      <w:r w:rsidR="008B01C0">
        <w:t xml:space="preserve"> </w:t>
      </w:r>
      <w:r w:rsidR="008B01C0" w:rsidRPr="00937FD6">
        <w:t>SHR07</w:t>
      </w:r>
      <w:r w:rsidR="008B01C0">
        <w:rPr>
          <w:rFonts w:hint="eastAsia"/>
        </w:rPr>
        <w:t>）</w:t>
      </w:r>
      <w:r w:rsidRPr="00937FD6">
        <w:t>情景下产出相对于</w:t>
      </w:r>
      <w:r w:rsidR="008B01C0">
        <w:rPr>
          <w:rFonts w:hint="eastAsia"/>
        </w:rPr>
        <w:t>静态分配碳限额（</w:t>
      </w:r>
      <w:r w:rsidR="008B01C0" w:rsidRPr="00937FD6">
        <w:t>CAP</w:t>
      </w:r>
      <w:r w:rsidR="008B01C0">
        <w:t xml:space="preserve"> </w:t>
      </w:r>
      <w:r w:rsidR="008B01C0" w:rsidRPr="00937FD6">
        <w:t>SHR07</w:t>
      </w:r>
      <w:r w:rsidR="008B01C0">
        <w:rPr>
          <w:rFonts w:hint="eastAsia"/>
        </w:rPr>
        <w:t>）情景</w:t>
      </w:r>
      <w:r w:rsidRPr="00937FD6">
        <w:t>大幅下降的是纺织和造纸部门，产出大幅上升的是石油、焦炭、电力部门，而</w:t>
      </w:r>
      <w:r w:rsidR="008B01C0">
        <w:rPr>
          <w:rFonts w:hint="eastAsia"/>
        </w:rPr>
        <w:t>动态分配碳交易（</w:t>
      </w:r>
      <w:r w:rsidR="008B01C0" w:rsidRPr="00937FD6">
        <w:t>ETSHRbau</w:t>
      </w:r>
      <w:r w:rsidR="008B01C0">
        <w:rPr>
          <w:rFonts w:hint="eastAsia"/>
        </w:rPr>
        <w:t>）</w:t>
      </w:r>
      <w:r w:rsidRPr="00937FD6">
        <w:t>情景下情况则大不相同，相对于</w:t>
      </w:r>
      <w:r w:rsidR="008B01C0">
        <w:rPr>
          <w:rFonts w:hint="eastAsia"/>
        </w:rPr>
        <w:t>动态分配碳限额（</w:t>
      </w:r>
      <w:r w:rsidR="008B01C0" w:rsidRPr="00937FD6">
        <w:t>CAPSHRbau</w:t>
      </w:r>
      <w:r w:rsidR="008B01C0">
        <w:rPr>
          <w:rFonts w:hint="eastAsia"/>
        </w:rPr>
        <w:t>）情景</w:t>
      </w:r>
      <w:r w:rsidRPr="00937FD6">
        <w:t>产出下降的是电力、铁路、造纸和石油部门，其余部门产出均有小幅上升。造成这种差异的原因是</w:t>
      </w:r>
      <w:r w:rsidRPr="005B7CD2">
        <w:rPr>
          <w:b/>
          <w:bCs/>
        </w:rPr>
        <w:t>不同碳配额方式下部门减排压力的大小不同，碳配额越多，</w:t>
      </w:r>
      <w:r w:rsidRPr="005B7CD2">
        <w:rPr>
          <w:rFonts w:hint="eastAsia"/>
          <w:b/>
          <w:bCs/>
        </w:rPr>
        <w:t>边际碳减排成本</w:t>
      </w:r>
      <w:r w:rsidRPr="005B7CD2">
        <w:rPr>
          <w:b/>
          <w:bCs/>
        </w:rPr>
        <w:t>越低，减排压力越小，越倾向于在碳市场</w:t>
      </w:r>
      <w:r w:rsidRPr="005B7CD2">
        <w:rPr>
          <w:b/>
          <w:bCs/>
        </w:rPr>
        <w:lastRenderedPageBreak/>
        <w:t>中成为卖方，反之亦然。</w:t>
      </w:r>
    </w:p>
    <w:p w14:paraId="332BA5D7" w14:textId="2006955C" w:rsidR="003A1D45" w:rsidRPr="003A1D45" w:rsidRDefault="003A1D45" w:rsidP="003A1D45">
      <w:pPr>
        <w:keepNext/>
        <w:keepLines/>
        <w:topLinePunct/>
        <w:adjustRightInd w:val="0"/>
        <w:spacing w:line="480" w:lineRule="auto"/>
        <w:ind w:firstLine="425"/>
        <w:outlineLvl w:val="3"/>
      </w:pPr>
      <w:r w:rsidRPr="009C0BF7">
        <w:rPr>
          <w:rFonts w:ascii="Arial" w:eastAsia="汉仪中圆简" w:hAnsi="Arial" w:cs="Times New Roman" w:hint="eastAsia"/>
          <w:color w:val="007DB6"/>
          <w:kern w:val="22"/>
          <w:sz w:val="22"/>
        </w:rPr>
        <w:t>（</w:t>
      </w:r>
      <w:r>
        <w:rPr>
          <w:rFonts w:ascii="Arial" w:eastAsia="汉仪中圆简" w:hAnsi="Arial" w:cs="Times New Roman" w:hint="eastAsia"/>
          <w:color w:val="007DB6"/>
          <w:kern w:val="22"/>
          <w:sz w:val="22"/>
        </w:rPr>
        <w:t>三</w:t>
      </w:r>
      <w:r w:rsidRPr="009C0BF7">
        <w:rPr>
          <w:rFonts w:ascii="Arial" w:eastAsia="汉仪中圆简" w:hAnsi="Arial" w:cs="Times New Roman" w:hint="eastAsia"/>
          <w:color w:val="007DB6"/>
          <w:kern w:val="22"/>
          <w:sz w:val="22"/>
        </w:rPr>
        <w:t>）</w:t>
      </w:r>
      <w:r>
        <w:rPr>
          <w:rFonts w:ascii="Arial" w:eastAsia="黑体" w:hAnsi="Arial" w:cs="Times New Roman" w:hint="eastAsia"/>
          <w:color w:val="007DB6"/>
          <w:kern w:val="0"/>
          <w:szCs w:val="21"/>
        </w:rPr>
        <w:t>宏观经济影响</w:t>
      </w:r>
    </w:p>
    <w:p w14:paraId="7657592A" w14:textId="483DA8E4" w:rsidR="00F1254C" w:rsidRPr="007929C5" w:rsidRDefault="003A1D45" w:rsidP="00F1254C">
      <w:pPr>
        <w:keepNext/>
        <w:keepLines/>
        <w:topLinePunct/>
        <w:adjustRightInd w:val="0"/>
        <w:spacing w:line="480" w:lineRule="auto"/>
        <w:ind w:firstLine="425"/>
        <w:outlineLvl w:val="4"/>
        <w:rPr>
          <w:rFonts w:ascii="Arial" w:eastAsia="黑体" w:hAnsi="Arial" w:cs="Times New Roman"/>
          <w:color w:val="007DB6"/>
          <w:kern w:val="0"/>
          <w:szCs w:val="21"/>
        </w:rPr>
      </w:pPr>
      <w:r>
        <w:rPr>
          <w:rFonts w:ascii="Arial" w:eastAsia="黑体" w:hAnsi="Arial" w:cs="Times New Roman"/>
          <w:color w:val="007DB6"/>
          <w:kern w:val="0"/>
          <w:szCs w:val="21"/>
        </w:rPr>
        <w:t>1</w:t>
      </w:r>
      <w:r w:rsidR="00F1254C" w:rsidRPr="007929C5">
        <w:rPr>
          <w:rFonts w:ascii="Arial" w:eastAsia="黑体" w:hAnsi="Arial" w:cs="Times New Roman" w:hint="eastAsia"/>
          <w:color w:val="007DB6"/>
          <w:kern w:val="0"/>
          <w:szCs w:val="21"/>
        </w:rPr>
        <w:t>．</w:t>
      </w:r>
      <w:r>
        <w:rPr>
          <w:rFonts w:ascii="Arial" w:eastAsia="黑体" w:hAnsi="Arial" w:cs="Times New Roman" w:hint="eastAsia"/>
          <w:color w:val="007DB6"/>
          <w:kern w:val="0"/>
          <w:szCs w:val="21"/>
        </w:rPr>
        <w:t>上海市</w:t>
      </w:r>
    </w:p>
    <w:p w14:paraId="100489FC" w14:textId="77777777" w:rsidR="00F1254C" w:rsidRPr="00F1254C" w:rsidRDefault="00F1254C" w:rsidP="00F1254C">
      <w:pPr>
        <w:topLinePunct/>
        <w:adjustRightInd w:val="0"/>
        <w:jc w:val="center"/>
        <w:rPr>
          <w:rFonts w:ascii="Times New Roman" w:eastAsia="宋体" w:hAnsi="Times New Roman" w:cs="Times New Roman"/>
          <w:color w:val="000000"/>
          <w:kern w:val="21"/>
          <w:szCs w:val="21"/>
        </w:rPr>
      </w:pPr>
      <w:r w:rsidRPr="00F1254C">
        <w:rPr>
          <w:rFonts w:ascii="Times New Roman" w:eastAsia="宋体" w:hAnsi="Times New Roman" w:cs="Times New Roman"/>
          <w:noProof/>
          <w:color w:val="000000"/>
          <w:kern w:val="21"/>
          <w:szCs w:val="21"/>
        </w:rPr>
        <w:drawing>
          <wp:inline distT="0" distB="0" distL="0" distR="0" wp14:anchorId="5903EFB3" wp14:editId="070F89B0">
            <wp:extent cx="4787900" cy="1704689"/>
            <wp:effectExtent l="0" t="0" r="0" b="0"/>
            <wp:docPr id="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9680" cy="1712444"/>
                    </a:xfrm>
                    <a:prstGeom prst="rect">
                      <a:avLst/>
                    </a:prstGeom>
                    <a:noFill/>
                    <a:ln>
                      <a:noFill/>
                    </a:ln>
                  </pic:spPr>
                </pic:pic>
              </a:graphicData>
            </a:graphic>
          </wp:inline>
        </w:drawing>
      </w:r>
    </w:p>
    <w:p w14:paraId="192E476A" w14:textId="4BCA73DD" w:rsidR="00F1254C" w:rsidRPr="00F1254C" w:rsidRDefault="00F1254C" w:rsidP="00F1254C">
      <w:pPr>
        <w:topLinePunct/>
        <w:adjustRightInd w:val="0"/>
        <w:spacing w:before="40" w:after="320"/>
        <w:jc w:val="center"/>
        <w:rPr>
          <w:rFonts w:ascii="Arial" w:eastAsia="黑体" w:hAnsi="Arial" w:cs="Times New Roman"/>
          <w:kern w:val="18"/>
          <w:sz w:val="18"/>
          <w:szCs w:val="24"/>
          <w:lang w:eastAsia="zh-TW"/>
        </w:rPr>
      </w:pPr>
      <w:r w:rsidRPr="00F1254C">
        <w:rPr>
          <w:rFonts w:ascii="Arial" w:eastAsia="黑体" w:hAnsi="Arial" w:cs="Times New Roman" w:hint="eastAsia"/>
          <w:kern w:val="18"/>
          <w:sz w:val="18"/>
          <w:szCs w:val="24"/>
          <w:lang w:eastAsia="zh-TW"/>
        </w:rPr>
        <w:t>图</w:t>
      </w:r>
      <w:r w:rsidR="00085A8C">
        <w:rPr>
          <w:rFonts w:ascii="Arial" w:eastAsia="黑体" w:hAnsi="Arial" w:cs="Times New Roman"/>
          <w:kern w:val="18"/>
          <w:sz w:val="18"/>
          <w:szCs w:val="24"/>
          <w:lang w:eastAsia="zh-TW"/>
        </w:rPr>
        <w:t>5</w:t>
      </w:r>
      <w:r w:rsidRPr="00F1254C">
        <w:rPr>
          <w:rFonts w:ascii="Arial" w:eastAsia="黑体" w:hAnsi="Arial" w:cs="Times New Roman"/>
          <w:kern w:val="18"/>
          <w:sz w:val="18"/>
          <w:szCs w:val="24"/>
          <w:lang w:eastAsia="zh-TW"/>
        </w:rPr>
        <w:t xml:space="preserve"> </w:t>
      </w:r>
      <w:r w:rsidR="003A1D45">
        <w:rPr>
          <w:rFonts w:ascii="Arial" w:eastAsia="黑体" w:hAnsi="Arial" w:cs="Times New Roman" w:hint="eastAsia"/>
          <w:kern w:val="18"/>
          <w:sz w:val="18"/>
          <w:szCs w:val="24"/>
          <w:lang w:eastAsia="zh-TW"/>
        </w:rPr>
        <w:t>上海市</w:t>
      </w:r>
      <w:r w:rsidRPr="00F1254C">
        <w:rPr>
          <w:rFonts w:ascii="Arial" w:eastAsia="黑体" w:hAnsi="Arial" w:cs="Times New Roman"/>
          <w:kern w:val="18"/>
          <w:sz w:val="18"/>
          <w:szCs w:val="24"/>
          <w:lang w:eastAsia="zh-TW"/>
        </w:rPr>
        <w:t>2020</w:t>
      </w:r>
      <w:r w:rsidRPr="00F1254C">
        <w:rPr>
          <w:rFonts w:ascii="Arial" w:eastAsia="黑体" w:hAnsi="Arial" w:cs="Times New Roman" w:hint="eastAsia"/>
          <w:kern w:val="18"/>
          <w:sz w:val="18"/>
          <w:szCs w:val="24"/>
          <w:lang w:eastAsia="zh-TW"/>
        </w:rPr>
        <w:t>年（左）和</w:t>
      </w:r>
      <w:r w:rsidRPr="00F1254C">
        <w:rPr>
          <w:rFonts w:ascii="Arial" w:eastAsia="黑体" w:hAnsi="Arial" w:cs="Times New Roman" w:hint="eastAsia"/>
          <w:kern w:val="18"/>
          <w:sz w:val="18"/>
          <w:szCs w:val="24"/>
          <w:lang w:eastAsia="zh-TW"/>
        </w:rPr>
        <w:t>2</w:t>
      </w:r>
      <w:r w:rsidRPr="00F1254C">
        <w:rPr>
          <w:rFonts w:ascii="Arial" w:eastAsia="黑体" w:hAnsi="Arial" w:cs="Times New Roman"/>
          <w:kern w:val="18"/>
          <w:sz w:val="18"/>
          <w:szCs w:val="24"/>
          <w:lang w:eastAsia="zh-TW"/>
        </w:rPr>
        <w:t>030</w:t>
      </w:r>
      <w:r w:rsidRPr="00F1254C">
        <w:rPr>
          <w:rFonts w:ascii="Arial" w:eastAsia="黑体" w:hAnsi="Arial" w:cs="Times New Roman" w:hint="eastAsia"/>
          <w:kern w:val="18"/>
          <w:sz w:val="18"/>
          <w:szCs w:val="24"/>
          <w:lang w:eastAsia="zh-TW"/>
        </w:rPr>
        <w:t>年（右）相对于</w:t>
      </w:r>
      <w:r>
        <w:rPr>
          <w:rFonts w:ascii="Arial" w:eastAsia="黑体" w:hAnsi="Arial" w:cs="Times New Roman" w:hint="eastAsia"/>
          <w:kern w:val="18"/>
          <w:sz w:val="18"/>
          <w:szCs w:val="24"/>
          <w:lang w:eastAsia="zh-TW"/>
        </w:rPr>
        <w:t>基准</w:t>
      </w:r>
      <w:r w:rsidRPr="00F1254C">
        <w:rPr>
          <w:rFonts w:ascii="Arial" w:eastAsia="黑体" w:hAnsi="Arial" w:cs="Times New Roman" w:hint="eastAsia"/>
          <w:kern w:val="18"/>
          <w:sz w:val="18"/>
          <w:szCs w:val="24"/>
          <w:lang w:eastAsia="zh-TW"/>
        </w:rPr>
        <w:t>情景</w:t>
      </w:r>
      <w:r>
        <w:rPr>
          <w:rFonts w:ascii="Arial" w:eastAsia="黑体" w:hAnsi="Arial" w:cs="Times New Roman" w:hint="eastAsia"/>
          <w:kern w:val="18"/>
          <w:sz w:val="18"/>
          <w:szCs w:val="24"/>
          <w:lang w:eastAsia="zh-TW"/>
        </w:rPr>
        <w:t>（</w:t>
      </w:r>
      <w:r w:rsidRPr="00F1254C">
        <w:rPr>
          <w:rFonts w:ascii="Arial" w:eastAsia="黑体" w:hAnsi="Arial" w:cs="Times New Roman" w:hint="eastAsia"/>
          <w:kern w:val="18"/>
          <w:sz w:val="18"/>
          <w:szCs w:val="24"/>
          <w:lang w:eastAsia="zh-TW"/>
        </w:rPr>
        <w:t>Ba</w:t>
      </w:r>
      <w:r w:rsidRPr="00F1254C">
        <w:rPr>
          <w:rFonts w:ascii="Arial" w:eastAsia="黑体" w:hAnsi="Arial" w:cs="Times New Roman"/>
          <w:kern w:val="18"/>
          <w:sz w:val="18"/>
          <w:szCs w:val="24"/>
          <w:lang w:eastAsia="zh-TW"/>
        </w:rPr>
        <w:t>U</w:t>
      </w:r>
      <w:r>
        <w:rPr>
          <w:rFonts w:ascii="Arial" w:eastAsia="黑体" w:hAnsi="Arial" w:cs="Times New Roman" w:hint="eastAsia"/>
          <w:kern w:val="18"/>
          <w:sz w:val="18"/>
          <w:szCs w:val="24"/>
          <w:lang w:eastAsia="zh-TW"/>
        </w:rPr>
        <w:t>）碳排放限额（</w:t>
      </w:r>
      <w:r w:rsidRPr="00F1254C">
        <w:rPr>
          <w:rFonts w:ascii="Arial" w:eastAsia="黑体" w:hAnsi="Arial" w:cs="Times New Roman" w:hint="eastAsia"/>
          <w:kern w:val="18"/>
          <w:sz w:val="18"/>
          <w:szCs w:val="24"/>
          <w:lang w:eastAsia="zh-TW"/>
        </w:rPr>
        <w:t>C</w:t>
      </w:r>
      <w:r w:rsidRPr="00F1254C">
        <w:rPr>
          <w:rFonts w:ascii="Arial" w:eastAsia="黑体" w:hAnsi="Arial" w:cs="Times New Roman"/>
          <w:kern w:val="18"/>
          <w:sz w:val="18"/>
          <w:szCs w:val="24"/>
          <w:lang w:eastAsia="zh-TW"/>
        </w:rPr>
        <w:t>AP</w:t>
      </w:r>
      <w:r>
        <w:rPr>
          <w:rFonts w:ascii="Arial" w:eastAsia="黑体" w:hAnsi="Arial" w:cs="Times New Roman" w:hint="eastAsia"/>
          <w:kern w:val="18"/>
          <w:sz w:val="18"/>
          <w:szCs w:val="24"/>
          <w:lang w:eastAsia="zh-TW"/>
        </w:rPr>
        <w:t>）</w:t>
      </w:r>
      <w:r w:rsidRPr="00F1254C">
        <w:rPr>
          <w:rFonts w:ascii="Arial" w:eastAsia="黑体" w:hAnsi="Arial" w:cs="Times New Roman" w:hint="eastAsia"/>
          <w:kern w:val="18"/>
          <w:sz w:val="18"/>
          <w:szCs w:val="24"/>
          <w:lang w:eastAsia="zh-TW"/>
        </w:rPr>
        <w:t>和</w:t>
      </w:r>
      <w:r>
        <w:rPr>
          <w:rFonts w:ascii="Arial" w:eastAsia="黑体" w:hAnsi="Arial" w:cs="Times New Roman" w:hint="eastAsia"/>
          <w:kern w:val="18"/>
          <w:sz w:val="18"/>
          <w:szCs w:val="24"/>
          <w:lang w:eastAsia="zh-TW"/>
        </w:rPr>
        <w:t>碳排放交易（</w:t>
      </w:r>
      <w:r w:rsidRPr="00F1254C">
        <w:rPr>
          <w:rFonts w:ascii="Arial" w:eastAsia="黑体" w:hAnsi="Arial" w:cs="Times New Roman"/>
          <w:kern w:val="18"/>
          <w:sz w:val="18"/>
          <w:szCs w:val="24"/>
          <w:lang w:eastAsia="zh-TW"/>
        </w:rPr>
        <w:t>ETS</w:t>
      </w:r>
      <w:r>
        <w:rPr>
          <w:rFonts w:ascii="Arial" w:eastAsia="黑体" w:hAnsi="Arial" w:cs="Times New Roman" w:hint="eastAsia"/>
          <w:kern w:val="18"/>
          <w:sz w:val="18"/>
          <w:szCs w:val="24"/>
          <w:lang w:eastAsia="zh-TW"/>
        </w:rPr>
        <w:t>）</w:t>
      </w:r>
      <w:r w:rsidRPr="00F1254C">
        <w:rPr>
          <w:rFonts w:ascii="Arial" w:eastAsia="黑体" w:hAnsi="Arial" w:cs="Times New Roman" w:hint="eastAsia"/>
          <w:kern w:val="18"/>
          <w:sz w:val="18"/>
          <w:szCs w:val="24"/>
          <w:lang w:eastAsia="zh-TW"/>
        </w:rPr>
        <w:t>对于宏观经济的影响</w:t>
      </w:r>
    </w:p>
    <w:p w14:paraId="7BF4DE63" w14:textId="77777777" w:rsidR="00C16CB4" w:rsidRDefault="00C16CB4" w:rsidP="00123B54">
      <w:pPr>
        <w:ind w:firstLineChars="200" w:firstLine="420"/>
      </w:pPr>
      <w:r w:rsidRPr="00A06F17">
        <w:rPr>
          <w:rFonts w:hint="eastAsia"/>
        </w:rPr>
        <w:t>碳限额政策的目的是克服碳排放带来的负外部性，达到全社会的最优均衡，由于对市场有扭曲，所以不可避免的会影响宏观经济的发展。碳限额政策导致的额外增加的生产成本将由消费者和生产者共同承担。</w:t>
      </w:r>
    </w:p>
    <w:p w14:paraId="1F767032" w14:textId="1241A8C9" w:rsidR="00123B54" w:rsidRDefault="00123B54" w:rsidP="00123B54">
      <w:pPr>
        <w:ind w:firstLineChars="200" w:firstLine="420"/>
      </w:pPr>
      <w:r w:rsidRPr="00043195">
        <w:rPr>
          <w:b/>
          <w:bCs/>
        </w:rPr>
        <w:t>碳减排政策将对上海宏观经济产生影响</w:t>
      </w:r>
      <w:r w:rsidRPr="00123B54">
        <w:t>，</w:t>
      </w:r>
      <w:r w:rsidRPr="00123B54">
        <w:rPr>
          <w:rFonts w:hint="eastAsia"/>
        </w:rPr>
        <w:t>大部分指标均</w:t>
      </w:r>
      <w:r w:rsidRPr="00123B54">
        <w:t>呈下降趋势</w:t>
      </w:r>
      <w:r w:rsidRPr="00123B54">
        <w:rPr>
          <w:rFonts w:hint="eastAsia"/>
        </w:rPr>
        <w:t>，其中对居民</w:t>
      </w:r>
      <w:r w:rsidRPr="00123B54">
        <w:t>消费</w:t>
      </w:r>
      <w:r w:rsidRPr="00123B54">
        <w:rPr>
          <w:rFonts w:hint="eastAsia"/>
        </w:rPr>
        <w:t>影响最大，其</w:t>
      </w:r>
      <w:r w:rsidRPr="00123B54">
        <w:t>在2020年和2030年分别</w:t>
      </w:r>
      <w:r w:rsidRPr="00123B54">
        <w:rPr>
          <w:rFonts w:hint="eastAsia"/>
        </w:rPr>
        <w:t>下降</w:t>
      </w:r>
      <w:r w:rsidRPr="00123B54">
        <w:t>5.8%和5.7%</w:t>
      </w:r>
      <w:r w:rsidRPr="00123B54">
        <w:rPr>
          <w:rFonts w:hint="eastAsia"/>
        </w:rPr>
        <w:t>；对于</w:t>
      </w:r>
      <w:r w:rsidRPr="00123B54">
        <w:t>政府支出</w:t>
      </w:r>
      <w:r w:rsidRPr="00123B54">
        <w:rPr>
          <w:rFonts w:hint="eastAsia"/>
        </w:rPr>
        <w:t>影响最小</w:t>
      </w:r>
      <w:r w:rsidRPr="00123B54">
        <w:t>，</w:t>
      </w:r>
      <w:r w:rsidRPr="00123B54">
        <w:rPr>
          <w:rFonts w:hint="eastAsia"/>
        </w:rPr>
        <w:t>其在</w:t>
      </w:r>
      <w:r w:rsidRPr="00123B54">
        <w:t>2020年增长0.8%，2030年下降0.5%。</w:t>
      </w:r>
      <w:r w:rsidRPr="00123B54">
        <w:rPr>
          <w:b/>
          <w:bCs/>
        </w:rPr>
        <w:t>在</w:t>
      </w:r>
      <w:r w:rsidRPr="00A155E6">
        <w:rPr>
          <w:rFonts w:hint="eastAsia"/>
          <w:b/>
          <w:bCs/>
        </w:rPr>
        <w:t>碳排放交易（</w:t>
      </w:r>
      <w:r w:rsidRPr="00123B54">
        <w:rPr>
          <w:b/>
          <w:bCs/>
        </w:rPr>
        <w:t>ETS</w:t>
      </w:r>
      <w:r w:rsidRPr="00A155E6">
        <w:rPr>
          <w:rFonts w:hint="eastAsia"/>
          <w:b/>
          <w:bCs/>
        </w:rPr>
        <w:t>）</w:t>
      </w:r>
      <w:r w:rsidRPr="00123B54">
        <w:rPr>
          <w:b/>
          <w:bCs/>
        </w:rPr>
        <w:t>情景下，所有宏观经济指标</w:t>
      </w:r>
      <w:r w:rsidRPr="00A155E6">
        <w:rPr>
          <w:rFonts w:hint="eastAsia"/>
          <w:b/>
          <w:bCs/>
        </w:rPr>
        <w:t>（</w:t>
      </w:r>
      <w:r w:rsidRPr="00123B54">
        <w:rPr>
          <w:b/>
          <w:bCs/>
        </w:rPr>
        <w:t>尤其是</w:t>
      </w:r>
      <w:r w:rsidRPr="00123B54">
        <w:rPr>
          <w:rFonts w:hint="eastAsia"/>
          <w:b/>
          <w:bCs/>
        </w:rPr>
        <w:t>居民</w:t>
      </w:r>
      <w:r w:rsidRPr="00123B54">
        <w:rPr>
          <w:b/>
          <w:bCs/>
        </w:rPr>
        <w:t>消费</w:t>
      </w:r>
      <w:r w:rsidRPr="00A155E6">
        <w:rPr>
          <w:rFonts w:hint="eastAsia"/>
          <w:b/>
          <w:bCs/>
        </w:rPr>
        <w:t>）</w:t>
      </w:r>
      <w:r w:rsidRPr="00123B54">
        <w:rPr>
          <w:b/>
          <w:bCs/>
        </w:rPr>
        <w:t>都将</w:t>
      </w:r>
      <w:r w:rsidRPr="00123B54">
        <w:rPr>
          <w:rFonts w:hint="eastAsia"/>
          <w:b/>
          <w:bCs/>
        </w:rPr>
        <w:t>有一定程度的回升</w:t>
      </w:r>
      <w:r w:rsidRPr="00123B54">
        <w:rPr>
          <w:b/>
          <w:bCs/>
        </w:rPr>
        <w:t>。</w:t>
      </w:r>
      <w:r w:rsidRPr="00123B54">
        <w:t>如上海的</w:t>
      </w:r>
      <w:r w:rsidRPr="00123B54">
        <w:rPr>
          <w:rFonts w:hint="eastAsia"/>
        </w:rPr>
        <w:t>2</w:t>
      </w:r>
      <w:r w:rsidRPr="00123B54">
        <w:t>020</w:t>
      </w:r>
      <w:r w:rsidRPr="00123B54">
        <w:rPr>
          <w:rFonts w:hint="eastAsia"/>
        </w:rPr>
        <w:t>年的</w:t>
      </w:r>
      <w:r w:rsidRPr="00123B54">
        <w:t>GDP损失将</w:t>
      </w:r>
      <w:r w:rsidRPr="00123B54">
        <w:rPr>
          <w:rFonts w:hint="eastAsia"/>
        </w:rPr>
        <w:t>从</w:t>
      </w:r>
      <w:r w:rsidRPr="00123B54">
        <w:t>1.0%</w:t>
      </w:r>
      <w:r w:rsidRPr="00123B54">
        <w:rPr>
          <w:rFonts w:hint="eastAsia"/>
        </w:rPr>
        <w:t>减少</w:t>
      </w:r>
      <w:r w:rsidRPr="00123B54">
        <w:t>到0.9%，</w:t>
      </w:r>
      <w:r w:rsidRPr="00123B54">
        <w:rPr>
          <w:rFonts w:hint="eastAsia"/>
        </w:rPr>
        <w:t>2</w:t>
      </w:r>
      <w:r w:rsidRPr="00123B54">
        <w:t>030</w:t>
      </w:r>
      <w:r w:rsidRPr="00123B54">
        <w:rPr>
          <w:rFonts w:hint="eastAsia"/>
        </w:rPr>
        <w:t>年从</w:t>
      </w:r>
      <w:r w:rsidRPr="00123B54">
        <w:t>1.7%</w:t>
      </w:r>
      <w:r w:rsidRPr="00123B54">
        <w:rPr>
          <w:rFonts w:hint="eastAsia"/>
        </w:rPr>
        <w:t>减少</w:t>
      </w:r>
      <w:r w:rsidRPr="00123B54">
        <w:t>到1.6%，相当于2020年和2030</w:t>
      </w:r>
      <w:r w:rsidRPr="00123B54">
        <w:rPr>
          <w:rFonts w:hint="eastAsia"/>
        </w:rPr>
        <w:t>年</w:t>
      </w:r>
      <w:r w:rsidRPr="00123B54">
        <w:t>GDP损失分别比</w:t>
      </w:r>
      <w:r>
        <w:rPr>
          <w:rFonts w:hint="eastAsia"/>
        </w:rPr>
        <w:t>碳排放限额（</w:t>
      </w:r>
      <w:r w:rsidRPr="00123B54">
        <w:rPr>
          <w:rFonts w:hint="eastAsia"/>
        </w:rPr>
        <w:t>C</w:t>
      </w:r>
      <w:r w:rsidRPr="00123B54">
        <w:t>AP</w:t>
      </w:r>
      <w:r>
        <w:rPr>
          <w:rFonts w:hint="eastAsia"/>
        </w:rPr>
        <w:t>）</w:t>
      </w:r>
      <w:r w:rsidRPr="00123B54">
        <w:t>情景减少34亿美元和2亿美元。</w:t>
      </w:r>
    </w:p>
    <w:p w14:paraId="782D24C4" w14:textId="0BB3A081" w:rsidR="00A2440D" w:rsidRPr="007929C5" w:rsidRDefault="00A2440D" w:rsidP="00A2440D">
      <w:pPr>
        <w:keepNext/>
        <w:keepLines/>
        <w:topLinePunct/>
        <w:adjustRightInd w:val="0"/>
        <w:spacing w:line="480" w:lineRule="auto"/>
        <w:ind w:firstLine="425"/>
        <w:outlineLvl w:val="4"/>
        <w:rPr>
          <w:rFonts w:ascii="Arial" w:eastAsia="黑体" w:hAnsi="Arial" w:cs="Times New Roman"/>
          <w:color w:val="007DB6"/>
          <w:kern w:val="0"/>
          <w:szCs w:val="21"/>
        </w:rPr>
      </w:pPr>
      <w:r>
        <w:rPr>
          <w:rFonts w:ascii="Arial" w:eastAsia="黑体" w:hAnsi="Arial" w:cs="Times New Roman"/>
          <w:color w:val="007DB6"/>
          <w:kern w:val="0"/>
          <w:szCs w:val="21"/>
        </w:rPr>
        <w:t>2</w:t>
      </w:r>
      <w:r w:rsidRPr="007929C5">
        <w:rPr>
          <w:rFonts w:ascii="Arial" w:eastAsia="黑体" w:hAnsi="Arial" w:cs="Times New Roman" w:hint="eastAsia"/>
          <w:color w:val="007DB6"/>
          <w:kern w:val="0"/>
          <w:szCs w:val="21"/>
        </w:rPr>
        <w:t>．</w:t>
      </w:r>
      <w:r>
        <w:rPr>
          <w:rFonts w:ascii="Arial" w:eastAsia="黑体" w:hAnsi="Arial" w:cs="Times New Roman" w:hint="eastAsia"/>
          <w:color w:val="007DB6"/>
          <w:kern w:val="0"/>
          <w:szCs w:val="21"/>
        </w:rPr>
        <w:t>广东省</w:t>
      </w:r>
    </w:p>
    <w:p w14:paraId="4258D681" w14:textId="77777777" w:rsidR="00A2440D" w:rsidRPr="00A06F17" w:rsidRDefault="00A2440D" w:rsidP="00A2440D">
      <w:pPr>
        <w:topLinePunct/>
        <w:adjustRightInd w:val="0"/>
        <w:jc w:val="center"/>
        <w:rPr>
          <w:rFonts w:ascii="Times New Roman" w:eastAsia="宋体" w:hAnsi="Times New Roman" w:cs="Times New Roman"/>
          <w:color w:val="000000"/>
          <w:kern w:val="21"/>
          <w:szCs w:val="21"/>
        </w:rPr>
      </w:pPr>
      <w:r w:rsidRPr="00A06F17">
        <w:rPr>
          <w:rFonts w:ascii="Times New Roman" w:eastAsia="宋体" w:hAnsi="Times New Roman" w:cs="Times New Roman"/>
          <w:noProof/>
          <w:color w:val="000000"/>
          <w:kern w:val="21"/>
          <w:szCs w:val="21"/>
        </w:rPr>
        <w:drawing>
          <wp:inline distT="0" distB="0" distL="0" distR="0" wp14:anchorId="25384C1D" wp14:editId="7BCCB87E">
            <wp:extent cx="3244850" cy="1796257"/>
            <wp:effectExtent l="0" t="0" r="0" b="0"/>
            <wp:docPr id="2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0633" cy="1810530"/>
                    </a:xfrm>
                    <a:prstGeom prst="rect">
                      <a:avLst/>
                    </a:prstGeom>
                    <a:noFill/>
                    <a:ln>
                      <a:noFill/>
                    </a:ln>
                  </pic:spPr>
                </pic:pic>
              </a:graphicData>
            </a:graphic>
          </wp:inline>
        </w:drawing>
      </w:r>
    </w:p>
    <w:p w14:paraId="6529E728" w14:textId="63D76E87" w:rsidR="00A2440D" w:rsidRPr="00A06F17" w:rsidRDefault="00A2440D" w:rsidP="00A2440D">
      <w:pPr>
        <w:topLinePunct/>
        <w:adjustRightInd w:val="0"/>
        <w:spacing w:before="40" w:after="320"/>
        <w:jc w:val="center"/>
        <w:rPr>
          <w:rFonts w:ascii="Arial" w:eastAsia="黑体" w:hAnsi="Arial" w:cs="Times New Roman"/>
          <w:kern w:val="18"/>
          <w:sz w:val="18"/>
          <w:szCs w:val="24"/>
          <w:lang w:eastAsia="zh-TW"/>
        </w:rPr>
      </w:pPr>
      <w:r w:rsidRPr="00A06F17">
        <w:rPr>
          <w:rFonts w:ascii="Arial" w:eastAsia="黑体" w:hAnsi="Arial" w:cs="Times New Roman" w:hint="eastAsia"/>
          <w:kern w:val="18"/>
          <w:sz w:val="18"/>
          <w:szCs w:val="24"/>
          <w:lang w:eastAsia="zh-TW"/>
        </w:rPr>
        <w:t>图</w:t>
      </w:r>
      <w:r w:rsidR="00085A8C">
        <w:rPr>
          <w:rFonts w:ascii="Arial" w:eastAsia="黑体" w:hAnsi="Arial" w:cs="Times New Roman"/>
          <w:kern w:val="18"/>
          <w:sz w:val="18"/>
          <w:szCs w:val="24"/>
          <w:lang w:eastAsia="zh-TW"/>
        </w:rPr>
        <w:t>6</w:t>
      </w:r>
      <w:r w:rsidRPr="00A06F17">
        <w:rPr>
          <w:rFonts w:ascii="Arial" w:eastAsia="黑体" w:hAnsi="Arial" w:cs="Times New Roman"/>
          <w:kern w:val="18"/>
          <w:sz w:val="18"/>
          <w:szCs w:val="24"/>
          <w:lang w:eastAsia="zh-TW"/>
        </w:rPr>
        <w:t xml:space="preserve"> </w:t>
      </w:r>
      <w:r w:rsidR="000F77A9">
        <w:rPr>
          <w:rFonts w:ascii="Arial" w:eastAsia="黑体" w:hAnsi="Arial" w:cs="Times New Roman" w:hint="eastAsia"/>
          <w:kern w:val="18"/>
          <w:sz w:val="18"/>
          <w:szCs w:val="24"/>
          <w:lang w:eastAsia="zh-TW"/>
        </w:rPr>
        <w:t>广东省</w:t>
      </w:r>
      <w:r w:rsidRPr="00A06F17">
        <w:rPr>
          <w:rFonts w:ascii="Arial" w:eastAsia="黑体" w:hAnsi="Arial" w:cs="Times New Roman" w:hint="eastAsia"/>
          <w:kern w:val="18"/>
          <w:sz w:val="18"/>
          <w:szCs w:val="24"/>
          <w:lang w:eastAsia="zh-TW"/>
        </w:rPr>
        <w:t>各情景下宏观指标相对于</w:t>
      </w:r>
      <w:r w:rsidR="00085A8C">
        <w:rPr>
          <w:rFonts w:ascii="Arial" w:eastAsia="黑体" w:hAnsi="Arial" w:cs="Times New Roman" w:hint="eastAsia"/>
          <w:kern w:val="18"/>
          <w:sz w:val="18"/>
          <w:szCs w:val="24"/>
          <w:lang w:eastAsia="zh-TW"/>
        </w:rPr>
        <w:t>基准</w:t>
      </w:r>
      <w:r w:rsidRPr="00A06F17">
        <w:rPr>
          <w:rFonts w:ascii="Arial" w:eastAsia="黑体" w:hAnsi="Arial" w:cs="Times New Roman" w:hint="eastAsia"/>
          <w:kern w:val="18"/>
          <w:sz w:val="18"/>
          <w:szCs w:val="24"/>
          <w:lang w:eastAsia="zh-TW"/>
        </w:rPr>
        <w:t>情景</w:t>
      </w:r>
      <w:r w:rsidRPr="00A06F17">
        <w:rPr>
          <w:rFonts w:ascii="Arial" w:eastAsia="黑体" w:hAnsi="Arial" w:cs="Times New Roman"/>
          <w:kern w:val="18"/>
          <w:sz w:val="18"/>
          <w:szCs w:val="24"/>
          <w:lang w:eastAsia="zh-TW"/>
        </w:rPr>
        <w:t>的变化</w:t>
      </w:r>
    </w:p>
    <w:p w14:paraId="1395D0A3" w14:textId="302B8032" w:rsidR="00A2440D" w:rsidRPr="00A06F17" w:rsidRDefault="00A2440D" w:rsidP="00A2440D">
      <w:pPr>
        <w:ind w:firstLineChars="200" w:firstLine="420"/>
      </w:pPr>
      <w:r w:rsidRPr="00A06F17">
        <w:rPr>
          <w:rFonts w:hint="eastAsia"/>
        </w:rPr>
        <w:t>如图</w:t>
      </w:r>
      <w:r w:rsidR="00085A8C">
        <w:t>6</w:t>
      </w:r>
      <w:r w:rsidRPr="00A06F17">
        <w:t>所示</w:t>
      </w:r>
      <w:r w:rsidRPr="0083727F">
        <w:t>，在</w:t>
      </w:r>
      <w:r w:rsidR="00C16CB4" w:rsidRPr="0083727F">
        <w:rPr>
          <w:rFonts w:hint="eastAsia"/>
        </w:rPr>
        <w:t>碳限额（C</w:t>
      </w:r>
      <w:r w:rsidR="00C16CB4" w:rsidRPr="0083727F">
        <w:t>AP SHR07</w:t>
      </w:r>
      <w:r w:rsidR="00C25ECF" w:rsidRPr="0083727F">
        <w:rPr>
          <w:rFonts w:hint="eastAsia"/>
        </w:rPr>
        <w:t>与C</w:t>
      </w:r>
      <w:r w:rsidR="00C25ECF" w:rsidRPr="0083727F">
        <w:t>AP SHR</w:t>
      </w:r>
      <w:r w:rsidR="00C25ECF" w:rsidRPr="0083727F">
        <w:rPr>
          <w:rFonts w:hint="eastAsia"/>
        </w:rPr>
        <w:t>bau</w:t>
      </w:r>
      <w:r w:rsidR="00C16CB4" w:rsidRPr="0083727F">
        <w:rPr>
          <w:rFonts w:hint="eastAsia"/>
        </w:rPr>
        <w:t>）</w:t>
      </w:r>
      <w:r w:rsidRPr="0083727F">
        <w:t>情</w:t>
      </w:r>
      <w:r>
        <w:t>景</w:t>
      </w:r>
      <w:r w:rsidRPr="00A06F17">
        <w:t>下，GDP、消费、进出口</w:t>
      </w:r>
      <w:r w:rsidRPr="00A06F17">
        <w:rPr>
          <w:rFonts w:hint="eastAsia"/>
        </w:rPr>
        <w:t>分别下降了大约</w:t>
      </w:r>
      <w:r w:rsidR="00C25ECF">
        <w:t>9</w:t>
      </w:r>
      <w:r w:rsidRPr="00A06F17">
        <w:t>%</w:t>
      </w:r>
      <w:r w:rsidR="00C25ECF">
        <w:rPr>
          <w:rFonts w:hint="eastAsia"/>
        </w:rPr>
        <w:t>-</w:t>
      </w:r>
      <w:r w:rsidR="00C25ECF">
        <w:t>10</w:t>
      </w:r>
      <w:r w:rsidR="00C25ECF">
        <w:rPr>
          <w:rFonts w:hint="eastAsia"/>
        </w:rPr>
        <w:t>%</w:t>
      </w:r>
      <w:r w:rsidRPr="00A06F17">
        <w:t>、1</w:t>
      </w:r>
      <w:r w:rsidR="0083727F">
        <w:t>6</w:t>
      </w:r>
      <w:r w:rsidRPr="00A06F17">
        <w:t>%</w:t>
      </w:r>
      <w:r w:rsidR="0083727F">
        <w:rPr>
          <w:rFonts w:hint="eastAsia"/>
        </w:rPr>
        <w:t>-</w:t>
      </w:r>
      <w:r w:rsidR="0083727F">
        <w:t>19</w:t>
      </w:r>
      <w:r w:rsidR="0083727F">
        <w:rPr>
          <w:rFonts w:hint="eastAsia"/>
        </w:rPr>
        <w:t>%</w:t>
      </w:r>
      <w:r w:rsidRPr="00A06F17">
        <w:t>、</w:t>
      </w:r>
      <w:r w:rsidR="0083727F">
        <w:t>3</w:t>
      </w:r>
      <w:r w:rsidRPr="00A06F17">
        <w:t>%</w:t>
      </w:r>
      <w:r w:rsidR="0083727F">
        <w:rPr>
          <w:rFonts w:hint="eastAsia"/>
        </w:rPr>
        <w:t>-</w:t>
      </w:r>
      <w:r w:rsidR="0083727F">
        <w:t>7</w:t>
      </w:r>
      <w:r w:rsidR="0083727F">
        <w:rPr>
          <w:rFonts w:hint="eastAsia"/>
        </w:rPr>
        <w:t>%不等</w:t>
      </w:r>
      <w:r w:rsidRPr="00A06F17">
        <w:t>。</w:t>
      </w:r>
      <w:r w:rsidRPr="00A06F17">
        <w:rPr>
          <w:rFonts w:hint="eastAsia"/>
        </w:rPr>
        <w:t>同样地，不同的碳配额方式对于宏观指标也有着重要的影响。</w:t>
      </w:r>
      <w:r w:rsidR="00C16CB4">
        <w:rPr>
          <w:rFonts w:hint="eastAsia"/>
        </w:rPr>
        <w:t>动态分配（</w:t>
      </w:r>
      <w:r w:rsidR="00C16CB4" w:rsidRPr="00A06F17">
        <w:t>CAP</w:t>
      </w:r>
      <w:r w:rsidR="00C16CB4">
        <w:t xml:space="preserve"> </w:t>
      </w:r>
      <w:r w:rsidR="00C16CB4" w:rsidRPr="00A06F17">
        <w:t>SHRbau</w:t>
      </w:r>
      <w:r w:rsidR="00C16CB4">
        <w:rPr>
          <w:rFonts w:hint="eastAsia"/>
        </w:rPr>
        <w:t>）</w:t>
      </w:r>
      <w:r w:rsidRPr="00A06F17">
        <w:t>方式相对于</w:t>
      </w:r>
      <w:r w:rsidR="00C16CB4">
        <w:rPr>
          <w:rFonts w:hint="eastAsia"/>
        </w:rPr>
        <w:t>静态分配（</w:t>
      </w:r>
      <w:r w:rsidR="00C16CB4" w:rsidRPr="00A06F17">
        <w:t>CAP</w:t>
      </w:r>
      <w:r w:rsidR="00C16CB4">
        <w:t xml:space="preserve"> </w:t>
      </w:r>
      <w:r w:rsidR="00C16CB4" w:rsidRPr="00A06F17">
        <w:t>SHR07</w:t>
      </w:r>
      <w:r w:rsidR="00C16CB4">
        <w:rPr>
          <w:rFonts w:hint="eastAsia"/>
        </w:rPr>
        <w:t>）</w:t>
      </w:r>
      <w:r w:rsidRPr="00A06F17">
        <w:t>方式而言，对整体上对于宏观经济指标的影响更小</w:t>
      </w:r>
      <w:r>
        <w:rPr>
          <w:rFonts w:hint="eastAsia"/>
        </w:rPr>
        <w:t>。</w:t>
      </w:r>
    </w:p>
    <w:p w14:paraId="7571AE4A" w14:textId="66C0C92E" w:rsidR="00A2440D" w:rsidRPr="00A06F17" w:rsidRDefault="00A2440D" w:rsidP="00A2440D">
      <w:pPr>
        <w:ind w:firstLineChars="200" w:firstLine="420"/>
      </w:pPr>
      <w:r w:rsidRPr="00A06F17">
        <w:rPr>
          <w:rFonts w:hint="eastAsia"/>
        </w:rPr>
        <w:lastRenderedPageBreak/>
        <w:t>碳交易</w:t>
      </w:r>
      <w:r w:rsidRPr="00A06F17">
        <w:t>则可以降低</w:t>
      </w:r>
      <w:r w:rsidRPr="00A06F17">
        <w:rPr>
          <w:rFonts w:hint="eastAsia"/>
        </w:rPr>
        <w:t>碳排放限额</w:t>
      </w:r>
      <w:r w:rsidRPr="00A06F17">
        <w:t>对宏观经济的不利影响，在</w:t>
      </w:r>
      <w:r w:rsidRPr="00A06F17">
        <w:rPr>
          <w:rFonts w:hint="eastAsia"/>
        </w:rPr>
        <w:t>图</w:t>
      </w:r>
      <w:r w:rsidR="00085A8C">
        <w:t>6</w:t>
      </w:r>
      <w:r w:rsidRPr="00A06F17">
        <w:t>中通过比较同种颜色深色</w:t>
      </w:r>
      <w:r w:rsidRPr="00A06F17">
        <w:rPr>
          <w:rFonts w:hint="eastAsia"/>
        </w:rPr>
        <w:t>柱子</w:t>
      </w:r>
      <w:r w:rsidRPr="00A06F17">
        <w:t>与浅色</w:t>
      </w:r>
      <w:r w:rsidRPr="00A06F17">
        <w:rPr>
          <w:rFonts w:hint="eastAsia"/>
        </w:rPr>
        <w:t>柱子</w:t>
      </w:r>
      <w:r w:rsidRPr="00A06F17">
        <w:t>的差值，可以看到，</w:t>
      </w:r>
      <w:r w:rsidRPr="00A06F17">
        <w:rPr>
          <w:rFonts w:hint="eastAsia"/>
        </w:rPr>
        <w:t>碳交易</w:t>
      </w:r>
      <w:r w:rsidRPr="00A06F17">
        <w:t>对于经济的作用恰好与</w:t>
      </w:r>
      <w:r w:rsidRPr="00A06F17">
        <w:rPr>
          <w:rFonts w:hint="eastAsia"/>
        </w:rPr>
        <w:t>碳排放限额</w:t>
      </w:r>
      <w:r w:rsidRPr="00A06F17">
        <w:t>相反，它减少了政府支出，增加了GDP、消费、进出口。由于</w:t>
      </w:r>
      <w:r w:rsidRPr="00A06F17">
        <w:rPr>
          <w:rFonts w:hint="eastAsia"/>
        </w:rPr>
        <w:t>碳交易</w:t>
      </w:r>
      <w:r w:rsidRPr="00A06F17">
        <w:t>影响的幅度不如</w:t>
      </w:r>
      <w:r w:rsidRPr="00A06F17">
        <w:rPr>
          <w:rFonts w:hint="eastAsia"/>
        </w:rPr>
        <w:t>碳排放限额</w:t>
      </w:r>
      <w:r w:rsidRPr="00A06F17">
        <w:t>的影响大，所以</w:t>
      </w:r>
      <w:r w:rsidRPr="00A06F17">
        <w:rPr>
          <w:rFonts w:hint="eastAsia"/>
        </w:rPr>
        <w:t>碳交易</w:t>
      </w:r>
      <w:r w:rsidRPr="00A06F17">
        <w:t>的作用是削弱</w:t>
      </w:r>
      <w:r w:rsidRPr="00A06F17">
        <w:rPr>
          <w:rFonts w:hint="eastAsia"/>
        </w:rPr>
        <w:t>碳排放限额</w:t>
      </w:r>
      <w:r w:rsidRPr="00A06F17">
        <w:t>对于经济的不利影响。</w:t>
      </w:r>
      <w:r w:rsidRPr="00A06F17">
        <w:rPr>
          <w:rFonts w:hint="eastAsia"/>
        </w:rPr>
        <w:t>碳交易</w:t>
      </w:r>
      <w:r w:rsidRPr="00A06F17">
        <w:t>是以更小代价实现同等减排目标的有力手段。</w:t>
      </w:r>
    </w:p>
    <w:p w14:paraId="599D20D8" w14:textId="61A18777" w:rsidR="00D64DFB" w:rsidRPr="009C0BF7" w:rsidRDefault="00D64DFB" w:rsidP="00D64DFB">
      <w:pPr>
        <w:keepNext/>
        <w:keepLines/>
        <w:widowControl/>
        <w:topLinePunct/>
        <w:adjustRightInd w:val="0"/>
        <w:spacing w:line="720" w:lineRule="auto"/>
        <w:ind w:firstLine="425"/>
        <w:outlineLvl w:val="2"/>
        <w:rPr>
          <w:rFonts w:ascii="Arial" w:eastAsia="汉仪大宋简" w:hAnsi="Arial" w:cs="Times New Roman"/>
          <w:color w:val="007DB6"/>
          <w:kern w:val="24"/>
          <w:sz w:val="24"/>
          <w:szCs w:val="24"/>
        </w:rPr>
      </w:pPr>
      <w:r>
        <w:rPr>
          <w:rFonts w:ascii="Arial" w:eastAsia="汉仪大宋简" w:hAnsi="Arial" w:cs="Times New Roman" w:hint="eastAsia"/>
          <w:color w:val="007DB6"/>
          <w:kern w:val="24"/>
          <w:sz w:val="24"/>
          <w:szCs w:val="24"/>
        </w:rPr>
        <w:t>四</w:t>
      </w:r>
      <w:r w:rsidRPr="009C0BF7">
        <w:rPr>
          <w:rFonts w:ascii="Arial" w:eastAsia="汉仪大宋简" w:hAnsi="Arial" w:cs="Times New Roman"/>
          <w:color w:val="007DB6"/>
          <w:kern w:val="24"/>
          <w:sz w:val="24"/>
          <w:szCs w:val="24"/>
        </w:rPr>
        <w:t>、</w:t>
      </w:r>
      <w:r>
        <w:rPr>
          <w:rFonts w:ascii="Arial" w:eastAsia="汉仪大宋简" w:hAnsi="Arial" w:cs="Times New Roman" w:hint="eastAsia"/>
          <w:color w:val="007DB6"/>
          <w:kern w:val="24"/>
          <w:sz w:val="24"/>
          <w:szCs w:val="24"/>
        </w:rPr>
        <w:t>结论</w:t>
      </w:r>
    </w:p>
    <w:p w14:paraId="450C8E05" w14:textId="3207B510" w:rsidR="00937FD6" w:rsidRPr="00937FD6" w:rsidRDefault="00937FD6" w:rsidP="00937FD6">
      <w:pPr>
        <w:ind w:firstLineChars="200" w:firstLine="420"/>
      </w:pPr>
      <w:r w:rsidRPr="00937FD6">
        <w:rPr>
          <w:rFonts w:hint="eastAsia"/>
        </w:rPr>
        <w:t>碳价主要取决于两个因素：碳配额数量和部门减排潜力的大小。一方面，碳配额越少的部门减排压力越大。这些部门往往</w:t>
      </w:r>
      <w:r w:rsidR="002E7079">
        <w:rPr>
          <w:rFonts w:hint="eastAsia"/>
        </w:rPr>
        <w:t>要</w:t>
      </w:r>
      <w:r w:rsidRPr="00937FD6">
        <w:rPr>
          <w:rFonts w:hint="eastAsia"/>
        </w:rPr>
        <w:t>通</w:t>
      </w:r>
      <w:r w:rsidR="00813F44">
        <w:rPr>
          <w:rFonts w:hint="eastAsia"/>
        </w:rPr>
        <w:t>过</w:t>
      </w:r>
      <w:r w:rsidRPr="00937FD6">
        <w:rPr>
          <w:rFonts w:hint="eastAsia"/>
        </w:rPr>
        <w:t>技术升级来降低碳强度，降低碳强度越大的行业面临的边际减排成本越大，</w:t>
      </w:r>
      <w:r w:rsidR="002E7079">
        <w:rPr>
          <w:rFonts w:hint="eastAsia"/>
        </w:rPr>
        <w:t>最终</w:t>
      </w:r>
      <w:r w:rsidRPr="00937FD6">
        <w:rPr>
          <w:rFonts w:hint="eastAsia"/>
        </w:rPr>
        <w:t>导致碳价格上涨。另一方面，在同样的碳分配方法下，碳价主要受各部门减排潜力的影响，</w:t>
      </w:r>
      <w:r w:rsidR="00285752">
        <w:rPr>
          <w:rFonts w:hint="eastAsia"/>
        </w:rPr>
        <w:t>但由于</w:t>
      </w:r>
      <w:r w:rsidRPr="00937FD6">
        <w:rPr>
          <w:rFonts w:hint="eastAsia"/>
        </w:rPr>
        <w:t>各部门减排潜力差异较大，各部门减排潜力对碳价格的影响是不均匀的。</w:t>
      </w:r>
    </w:p>
    <w:p w14:paraId="0DB13820" w14:textId="77777777" w:rsidR="00937FD6" w:rsidRPr="00937FD6" w:rsidRDefault="00937FD6" w:rsidP="00937FD6">
      <w:pPr>
        <w:ind w:firstLineChars="200" w:firstLine="420"/>
      </w:pPr>
      <w:r w:rsidRPr="00937FD6">
        <w:rPr>
          <w:rFonts w:hint="eastAsia"/>
        </w:rPr>
        <w:t>碳排放限额是控制碳排放总量</w:t>
      </w:r>
      <w:r w:rsidRPr="00937FD6">
        <w:t>非常有效的</w:t>
      </w:r>
      <w:r w:rsidRPr="00937FD6">
        <w:rPr>
          <w:rFonts w:hint="eastAsia"/>
        </w:rPr>
        <w:t>措施</w:t>
      </w:r>
      <w:r w:rsidRPr="00937FD6">
        <w:t>，但它会给行业带来额外的生产成本</w:t>
      </w:r>
      <w:r w:rsidRPr="00937FD6">
        <w:rPr>
          <w:rFonts w:hint="eastAsia"/>
        </w:rPr>
        <w:t>，导致部门产出降低并</w:t>
      </w:r>
      <w:r w:rsidRPr="00937FD6">
        <w:t>给整个社会带来额外的负担。如果</w:t>
      </w:r>
      <w:r w:rsidRPr="00937FD6">
        <w:rPr>
          <w:rFonts w:hint="eastAsia"/>
        </w:rPr>
        <w:t>实行</w:t>
      </w:r>
      <w:r w:rsidRPr="00937FD6">
        <w:t>碳交易政策，不仅</w:t>
      </w:r>
      <w:r w:rsidRPr="00937FD6">
        <w:rPr>
          <w:rFonts w:hint="eastAsia"/>
        </w:rPr>
        <w:t>可以</w:t>
      </w:r>
      <w:r w:rsidRPr="00937FD6">
        <w:t>降低整个社会的碳减排成本，</w:t>
      </w:r>
      <w:r w:rsidRPr="00937FD6">
        <w:rPr>
          <w:rFonts w:hint="eastAsia"/>
        </w:rPr>
        <w:t>还可以</w:t>
      </w:r>
      <w:r w:rsidRPr="00937FD6">
        <w:t>促进经济结构的绿色转型，</w:t>
      </w:r>
      <w:r w:rsidRPr="00937FD6">
        <w:rPr>
          <w:rFonts w:hint="eastAsia"/>
        </w:rPr>
        <w:t>为减排、低碳绿色生产</w:t>
      </w:r>
      <w:r w:rsidRPr="00937FD6">
        <w:t>和技术进步</w:t>
      </w:r>
      <w:r w:rsidRPr="00937FD6">
        <w:rPr>
          <w:rFonts w:hint="eastAsia"/>
        </w:rPr>
        <w:t>提供了一种</w:t>
      </w:r>
      <w:r w:rsidRPr="00937FD6">
        <w:t>激励机制，增加低碳行业的竞争力等等。此外，</w:t>
      </w:r>
      <w:r w:rsidRPr="00937FD6">
        <w:rPr>
          <w:rFonts w:hint="eastAsia"/>
        </w:rPr>
        <w:t>碳交易</w:t>
      </w:r>
      <w:r w:rsidRPr="00937FD6">
        <w:t>政策重新分配了各部门之间的经济利益，缩小了碳限额政策在不同部门之间造成的不平等。</w:t>
      </w:r>
      <w:r w:rsidRPr="00937FD6">
        <w:rPr>
          <w:rFonts w:hint="eastAsia"/>
        </w:rPr>
        <w:t>并且</w:t>
      </w:r>
      <w:r w:rsidRPr="00937FD6">
        <w:t>各部门可以通过在碳市场上</w:t>
      </w:r>
      <w:r w:rsidRPr="00937FD6">
        <w:rPr>
          <w:rFonts w:hint="eastAsia"/>
        </w:rPr>
        <w:t>出售碳排放权获得收益</w:t>
      </w:r>
      <w:r w:rsidRPr="00937FD6">
        <w:t>，抵</w:t>
      </w:r>
      <w:r w:rsidRPr="00937FD6">
        <w:rPr>
          <w:rFonts w:hint="eastAsia"/>
        </w:rPr>
        <w:t>消碳限额带来的产出损失，这将大大降低碳限额政策对宏观经济的负面影响。</w:t>
      </w:r>
    </w:p>
    <w:p w14:paraId="7EA2959A" w14:textId="089CAF4B" w:rsidR="00937FD6" w:rsidRDefault="00937FD6" w:rsidP="00212D3C">
      <w:pPr>
        <w:ind w:firstLineChars="200" w:firstLine="420"/>
      </w:pPr>
      <w:r w:rsidRPr="00937FD6">
        <w:rPr>
          <w:rFonts w:hint="eastAsia"/>
        </w:rPr>
        <w:t>碳排放限额政策可以促进产业转型，鼓励发展低碳产业，降低碳密集型产业的竞争力。但这将不可避免的对市场造成扭曲，进而对宏观经济产生不利影响。</w:t>
      </w:r>
      <w:r w:rsidRPr="00937FD6">
        <w:t>相反，碳交易可以减少碳限额对宏观经济的不利影响。</w:t>
      </w:r>
      <w:r w:rsidR="00A778B9" w:rsidRPr="00212D3C">
        <w:t>此外，碳交易价格和交易量对不同的</w:t>
      </w:r>
      <w:r w:rsidR="00A778B9" w:rsidRPr="00212D3C">
        <w:rPr>
          <w:rFonts w:hint="eastAsia"/>
        </w:rPr>
        <w:t>配额</w:t>
      </w:r>
      <w:r w:rsidR="00A778B9" w:rsidRPr="00212D3C">
        <w:t>分配方案非常敏感。</w:t>
      </w:r>
    </w:p>
    <w:p w14:paraId="7DFD8152" w14:textId="01572605" w:rsidR="00EA7C9B" w:rsidRDefault="00EA7C9B" w:rsidP="00212D3C">
      <w:pPr>
        <w:ind w:firstLineChars="200" w:firstLine="420"/>
      </w:pPr>
    </w:p>
    <w:p w14:paraId="305E3B36" w14:textId="77777777" w:rsidR="00EA7C9B" w:rsidRDefault="00EA7C9B" w:rsidP="00212D3C">
      <w:pPr>
        <w:ind w:firstLineChars="200" w:firstLine="420"/>
        <w:sectPr w:rsidR="00EA7C9B">
          <w:pgSz w:w="11906" w:h="16838"/>
          <w:pgMar w:top="1440" w:right="1800" w:bottom="1440" w:left="1800" w:header="851" w:footer="992" w:gutter="0"/>
          <w:cols w:space="425"/>
          <w:docGrid w:type="lines" w:linePitch="312"/>
        </w:sectPr>
      </w:pPr>
    </w:p>
    <w:p w14:paraId="70B2E98E" w14:textId="77777777" w:rsidR="00EA7C9B" w:rsidRDefault="00EA7C9B" w:rsidP="00EA7C9B">
      <w:pPr>
        <w:spacing w:line="360" w:lineRule="auto"/>
        <w:ind w:firstLine="420"/>
        <w:rPr>
          <w:rFonts w:ascii="Times New Roman" w:cs="Times New Roman"/>
          <w:b/>
        </w:rPr>
      </w:pPr>
      <w:r>
        <w:rPr>
          <w:rFonts w:ascii="Times New Roman" w:cs="Times New Roman" w:hint="eastAsia"/>
          <w:b/>
        </w:rPr>
        <w:lastRenderedPageBreak/>
        <w:t>中立</w:t>
      </w:r>
      <w:r>
        <w:rPr>
          <w:rFonts w:ascii="Times New Roman" w:cs="Times New Roman" w:hint="eastAsia"/>
        </w:rPr>
        <w:t xml:space="preserve"> </w:t>
      </w:r>
      <w:r>
        <w:rPr>
          <w:rFonts w:ascii="Times New Roman" w:cs="Times New Roman"/>
        </w:rPr>
        <w:t xml:space="preserve">        </w:t>
      </w:r>
      <w:r>
        <w:rPr>
          <w:rFonts w:ascii="Times New Roman" w:cs="Times New Roman" w:hint="eastAsia"/>
          <w:b/>
        </w:rPr>
        <w:t>独立</w:t>
      </w:r>
      <w:r>
        <w:rPr>
          <w:rFonts w:ascii="Times New Roman" w:cs="Times New Roman" w:hint="eastAsia"/>
          <w:b/>
        </w:rPr>
        <w:t xml:space="preserve"> </w:t>
      </w:r>
      <w:r>
        <w:rPr>
          <w:rFonts w:ascii="Times New Roman" w:cs="Times New Roman"/>
          <w:b/>
        </w:rPr>
        <w:t xml:space="preserve">       </w:t>
      </w:r>
      <w:r w:rsidRPr="00777B29">
        <w:rPr>
          <w:rFonts w:ascii="Times New Roman" w:cs="Times New Roman" w:hint="eastAsia"/>
          <w:b/>
        </w:rPr>
        <w:t>协同</w:t>
      </w:r>
      <w:r>
        <w:rPr>
          <w:rFonts w:ascii="Times New Roman" w:cs="Times New Roman" w:hint="eastAsia"/>
          <w:b/>
        </w:rPr>
        <w:t xml:space="preserve"> </w:t>
      </w:r>
      <w:r>
        <w:rPr>
          <w:rFonts w:ascii="Times New Roman" w:cs="Times New Roman"/>
          <w:b/>
        </w:rPr>
        <w:t xml:space="preserve">       </w:t>
      </w:r>
      <w:r w:rsidRPr="00777B29">
        <w:rPr>
          <w:rFonts w:ascii="Times New Roman" w:cs="Times New Roman" w:hint="eastAsia"/>
          <w:b/>
        </w:rPr>
        <w:t>透明</w:t>
      </w:r>
      <w:r>
        <w:rPr>
          <w:rFonts w:ascii="Times New Roman" w:cs="Times New Roman" w:hint="eastAsia"/>
        </w:rPr>
        <w:t xml:space="preserve"> </w:t>
      </w:r>
      <w:r>
        <w:rPr>
          <w:rFonts w:ascii="Times New Roman" w:cs="Times New Roman"/>
        </w:rPr>
        <w:t xml:space="preserve">      </w:t>
      </w:r>
      <w:r w:rsidRPr="00F32388">
        <w:rPr>
          <w:rFonts w:ascii="Times New Roman" w:cs="Times New Roman" w:hint="eastAsia"/>
          <w:b/>
        </w:rPr>
        <w:t>公</w:t>
      </w:r>
      <w:r>
        <w:rPr>
          <w:rFonts w:ascii="Times New Roman" w:cs="Times New Roman" w:hint="eastAsia"/>
          <w:b/>
        </w:rPr>
        <w:t>正</w:t>
      </w:r>
    </w:p>
    <w:p w14:paraId="1AB6F1E3" w14:textId="77777777" w:rsidR="00EA7C9B" w:rsidRDefault="00EA7C9B" w:rsidP="00EA7C9B">
      <w:r>
        <w:rPr>
          <w:rFonts w:hint="eastAsia"/>
        </w:rPr>
        <w:t xml:space="preserve"> </w:t>
      </w:r>
      <w:r>
        <w:t xml:space="preserve">  Neutrality  Independence  Synergy  Transparency  Fairness</w:t>
      </w:r>
    </w:p>
    <w:p w14:paraId="776A4A55" w14:textId="77777777" w:rsidR="00EA7C9B" w:rsidRDefault="00EA7C9B" w:rsidP="00EA7C9B"/>
    <w:p w14:paraId="43B299E9" w14:textId="77777777" w:rsidR="00EA7C9B" w:rsidRDefault="00EA7C9B" w:rsidP="00EA7C9B"/>
    <w:p w14:paraId="35C76360" w14:textId="77777777" w:rsidR="00EA7C9B" w:rsidRDefault="00EA7C9B" w:rsidP="00EA7C9B">
      <w:r>
        <w:rPr>
          <w:rFonts w:hint="eastAsia"/>
        </w:rPr>
        <w:t>清华大学产业发展与环境治理研究中心</w:t>
      </w:r>
    </w:p>
    <w:p w14:paraId="3D3C2AA6" w14:textId="77777777" w:rsidR="00EA7C9B" w:rsidRDefault="00EA7C9B" w:rsidP="00EA7C9B">
      <w:r>
        <w:rPr>
          <w:rFonts w:ascii="Times New Roman" w:hAnsi="Times New Roman"/>
          <w:kern w:val="0"/>
        </w:rPr>
        <w:t>Center for Industrial Development and Environmental Governance</w:t>
      </w:r>
    </w:p>
    <w:p w14:paraId="483CF4CD" w14:textId="77777777" w:rsidR="00EA7C9B" w:rsidRDefault="00EA7C9B" w:rsidP="00EA7C9B">
      <w:r>
        <w:rPr>
          <w:rFonts w:hint="eastAsia"/>
        </w:rPr>
        <w:t xml:space="preserve">清华大学公共管理学院 </w:t>
      </w:r>
      <w:r>
        <w:t>615</w:t>
      </w:r>
    </w:p>
    <w:p w14:paraId="658835C9" w14:textId="77777777" w:rsidR="00EA7C9B" w:rsidRPr="00B54A43" w:rsidRDefault="00EA7C9B" w:rsidP="00EA7C9B">
      <w:pPr>
        <w:rPr>
          <w:rFonts w:ascii="Times New Roman" w:hAnsi="Times New Roman" w:cs="Times New Roman"/>
        </w:rPr>
      </w:pPr>
      <w:r w:rsidRPr="00B54A43">
        <w:rPr>
          <w:rFonts w:ascii="Times New Roman" w:hAnsi="Times New Roman" w:cs="Times New Roman"/>
        </w:rPr>
        <w:t>Room 615</w:t>
      </w:r>
      <w:r>
        <w:rPr>
          <w:rFonts w:ascii="Times New Roman" w:hAnsi="Times New Roman" w:cs="Times New Roman"/>
        </w:rPr>
        <w:t xml:space="preserve">, </w:t>
      </w:r>
      <w:r w:rsidRPr="00B54A43">
        <w:rPr>
          <w:rFonts w:ascii="Times New Roman" w:hAnsi="Times New Roman" w:cs="Times New Roman"/>
        </w:rPr>
        <w:t>School of Public Policy and Management, Tsinghua University</w:t>
      </w:r>
    </w:p>
    <w:p w14:paraId="35844DA4" w14:textId="77777777" w:rsidR="00EA7C9B" w:rsidRDefault="00EA7C9B" w:rsidP="00EA7C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kern w:val="0"/>
          <w:lang w:eastAsia="zh-TW"/>
        </w:rPr>
      </w:pPr>
      <w:r>
        <w:rPr>
          <w:rFonts w:ascii="仿宋" w:eastAsia="仿宋" w:hAnsi="仿宋" w:cs="仿宋"/>
          <w:kern w:val="0"/>
          <w:lang w:val="zh-TW" w:eastAsia="zh-TW"/>
        </w:rPr>
        <w:t>邮箱</w:t>
      </w:r>
      <w:r>
        <w:rPr>
          <w:kern w:val="0"/>
          <w:lang w:val="zh-TW" w:eastAsia="zh-TW"/>
        </w:rPr>
        <w:t>：</w:t>
      </w:r>
      <w:hyperlink r:id="rId15" w:history="1">
        <w:r w:rsidRPr="002D04C2">
          <w:rPr>
            <w:rStyle w:val="af7"/>
            <w:rFonts w:ascii="Times New Roman" w:hAnsi="Times New Roman"/>
            <w:kern w:val="0"/>
            <w:lang w:eastAsia="zh-TW"/>
          </w:rPr>
          <w:t>cemf@tsinghua.edu.cn</w:t>
        </w:r>
      </w:hyperlink>
    </w:p>
    <w:p w14:paraId="2FA35C74" w14:textId="77777777" w:rsidR="00EA7C9B" w:rsidRPr="00B54A43" w:rsidRDefault="00EA7C9B" w:rsidP="00EA7C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eastAsia="PMingLiU" w:hAnsi="Times New Roman"/>
          <w:kern w:val="0"/>
          <w:lang w:eastAsia="zh-TW"/>
        </w:rPr>
      </w:pPr>
      <w:r>
        <w:rPr>
          <w:rFonts w:ascii="Times New Roman" w:hAnsi="Times New Roman"/>
          <w:kern w:val="0"/>
          <w:lang w:eastAsia="zh-TW"/>
        </w:rPr>
        <w:t xml:space="preserve">E-mail: </w:t>
      </w:r>
      <w:hyperlink r:id="rId16" w:history="1">
        <w:r w:rsidRPr="002D04C2">
          <w:rPr>
            <w:rStyle w:val="af7"/>
            <w:rFonts w:ascii="Times New Roman" w:hAnsi="Times New Roman"/>
            <w:kern w:val="0"/>
            <w:lang w:eastAsia="zh-TW"/>
          </w:rPr>
          <w:t>cemf@tsinghua.edu.cn</w:t>
        </w:r>
      </w:hyperlink>
    </w:p>
    <w:p w14:paraId="291E99BF" w14:textId="77777777" w:rsidR="00EA7C9B" w:rsidRDefault="00EA7C9B" w:rsidP="00EA7C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kern w:val="0"/>
        </w:rPr>
      </w:pPr>
      <w:r>
        <w:rPr>
          <w:rFonts w:ascii="仿宋" w:eastAsia="仿宋" w:hAnsi="仿宋" w:cs="仿宋"/>
          <w:kern w:val="0"/>
          <w:lang w:val="zh-TW" w:eastAsia="zh-TW"/>
        </w:rPr>
        <w:t>电话</w:t>
      </w:r>
      <w:r>
        <w:rPr>
          <w:kern w:val="0"/>
          <w:lang w:val="zh-TW" w:eastAsia="zh-TW"/>
        </w:rPr>
        <w:t>：（</w:t>
      </w:r>
      <w:r>
        <w:rPr>
          <w:rFonts w:ascii="Times New Roman" w:hAnsi="Times New Roman"/>
          <w:kern w:val="0"/>
        </w:rPr>
        <w:t>010</w:t>
      </w:r>
      <w:r>
        <w:rPr>
          <w:kern w:val="0"/>
          <w:lang w:val="zh-TW" w:eastAsia="zh-TW"/>
        </w:rPr>
        <w:t>）</w:t>
      </w:r>
      <w:r>
        <w:rPr>
          <w:rFonts w:ascii="Times New Roman" w:hAnsi="Times New Roman"/>
          <w:kern w:val="0"/>
        </w:rPr>
        <w:t>62789263</w:t>
      </w:r>
    </w:p>
    <w:p w14:paraId="15FCF26E" w14:textId="77777777" w:rsidR="00EA7C9B" w:rsidRDefault="00EA7C9B" w:rsidP="00EA7C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eastAsia="Times New Roman" w:hAnsi="Times New Roman" w:cs="Times New Roman"/>
          <w:kern w:val="0"/>
        </w:rPr>
      </w:pPr>
      <w:r>
        <w:rPr>
          <w:rFonts w:ascii="Times New Roman" w:hAnsi="Times New Roman"/>
          <w:kern w:val="0"/>
        </w:rPr>
        <w:t xml:space="preserve">Tel: </w:t>
      </w:r>
      <w:r>
        <w:rPr>
          <w:kern w:val="0"/>
          <w:lang w:val="zh-TW" w:eastAsia="zh-TW"/>
        </w:rPr>
        <w:t>（</w:t>
      </w:r>
      <w:r>
        <w:rPr>
          <w:rFonts w:ascii="Times New Roman" w:hAnsi="Times New Roman"/>
          <w:kern w:val="0"/>
        </w:rPr>
        <w:t>010</w:t>
      </w:r>
      <w:r>
        <w:rPr>
          <w:kern w:val="0"/>
          <w:lang w:val="zh-TW" w:eastAsia="zh-TW"/>
        </w:rPr>
        <w:t>）</w:t>
      </w:r>
      <w:r>
        <w:rPr>
          <w:rFonts w:ascii="Times New Roman" w:hAnsi="Times New Roman"/>
          <w:kern w:val="0"/>
        </w:rPr>
        <w:t>62789263</w:t>
      </w:r>
    </w:p>
    <w:p w14:paraId="23ED28B9" w14:textId="77777777" w:rsidR="00EA7C9B" w:rsidRDefault="00EA7C9B" w:rsidP="00EA7C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kern w:val="0"/>
        </w:rPr>
      </w:pPr>
      <w:r>
        <w:rPr>
          <w:rFonts w:ascii="仿宋" w:eastAsia="仿宋" w:hAnsi="仿宋" w:cs="仿宋"/>
          <w:kern w:val="0"/>
          <w:lang w:val="zh-TW" w:eastAsia="zh-TW"/>
        </w:rPr>
        <w:t>网站</w:t>
      </w:r>
      <w:r>
        <w:rPr>
          <w:kern w:val="0"/>
          <w:lang w:val="zh-TW" w:eastAsia="zh-TW"/>
        </w:rPr>
        <w:t>：</w:t>
      </w:r>
      <w:r>
        <w:rPr>
          <w:rFonts w:ascii="Times New Roman" w:hAnsi="Times New Roman"/>
          <w:kern w:val="0"/>
        </w:rPr>
        <w:t xml:space="preserve"> </w:t>
      </w:r>
      <w:hyperlink r:id="rId17" w:history="1">
        <w:r w:rsidRPr="002D04C2">
          <w:rPr>
            <w:rStyle w:val="af7"/>
            <w:rFonts w:ascii="Times New Roman" w:hAnsi="Times New Roman"/>
            <w:kern w:val="0"/>
          </w:rPr>
          <w:t>www.cemf.net.cn</w:t>
        </w:r>
      </w:hyperlink>
    </w:p>
    <w:p w14:paraId="5C4014FA" w14:textId="77777777" w:rsidR="00EA7C9B" w:rsidRDefault="00EA7C9B" w:rsidP="00EA7C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kern w:val="0"/>
        </w:rPr>
      </w:pPr>
      <w:r>
        <w:rPr>
          <w:rFonts w:ascii="Times New Roman" w:hAnsi="Times New Roman"/>
          <w:kern w:val="0"/>
        </w:rPr>
        <w:t xml:space="preserve">Website: </w:t>
      </w:r>
      <w:hyperlink r:id="rId18" w:history="1">
        <w:r w:rsidRPr="002D04C2">
          <w:rPr>
            <w:rStyle w:val="af7"/>
            <w:rFonts w:ascii="Times New Roman" w:hAnsi="Times New Roman"/>
            <w:kern w:val="0"/>
          </w:rPr>
          <w:t>www.cemf.net.cn</w:t>
        </w:r>
      </w:hyperlink>
    </w:p>
    <w:p w14:paraId="21719782" w14:textId="77777777" w:rsidR="00EA7C9B" w:rsidRDefault="00EA7C9B" w:rsidP="00EA7C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eastAsia="Times New Roman" w:hAnsi="Times New Roman" w:cs="Times New Roman"/>
          <w:color w:val="0000FF"/>
          <w:kern w:val="0"/>
          <w:u w:val="single" w:color="0000FF"/>
        </w:rPr>
      </w:pPr>
    </w:p>
    <w:p w14:paraId="1DCE2428" w14:textId="77777777" w:rsidR="00EA7C9B" w:rsidRDefault="00EA7C9B" w:rsidP="00EA7C9B">
      <w:pPr>
        <w:ind w:firstLineChars="100" w:firstLine="210"/>
      </w:pPr>
      <w:r w:rsidRPr="00B54A43">
        <w:rPr>
          <w:noProof/>
        </w:rPr>
        <w:drawing>
          <wp:inline distT="0" distB="0" distL="0" distR="0" wp14:anchorId="6595629E" wp14:editId="2EF5316C">
            <wp:extent cx="936702" cy="936702"/>
            <wp:effectExtent l="0" t="0" r="0" b="0"/>
            <wp:docPr id="1" name="图片 1" descr="G:\20190126张姝怡\CEMF2019\CEMF2018\CEMF二维码\网站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90126张姝怡\CEMF2019\CEMF2018\CEMF二维码\网站二维码.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9169" cy="949169"/>
                    </a:xfrm>
                    <a:prstGeom prst="rect">
                      <a:avLst/>
                    </a:prstGeom>
                    <a:noFill/>
                    <a:ln>
                      <a:noFill/>
                    </a:ln>
                  </pic:spPr>
                </pic:pic>
              </a:graphicData>
            </a:graphic>
          </wp:inline>
        </w:drawing>
      </w:r>
      <w:r>
        <w:rPr>
          <w:noProof/>
        </w:rPr>
        <w:t xml:space="preserve">        </w:t>
      </w:r>
      <w:r w:rsidRPr="00B54A43">
        <w:rPr>
          <w:noProof/>
        </w:rPr>
        <w:drawing>
          <wp:inline distT="0" distB="0" distL="0" distR="0" wp14:anchorId="0F75D6E7" wp14:editId="36C20727">
            <wp:extent cx="876935" cy="876935"/>
            <wp:effectExtent l="0" t="0" r="0" b="0"/>
            <wp:docPr id="6" name="图片 6" descr="G:\20190126张姝怡\CEMF2019\CEMF2018\CEMF二维码\微信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190126张姝怡\CEMF2019\CEMF2018\CEMF二维码\微信二维码.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5543" cy="895543"/>
                    </a:xfrm>
                    <a:prstGeom prst="rect">
                      <a:avLst/>
                    </a:prstGeom>
                    <a:noFill/>
                    <a:ln>
                      <a:noFill/>
                    </a:ln>
                  </pic:spPr>
                </pic:pic>
              </a:graphicData>
            </a:graphic>
          </wp:inline>
        </w:drawing>
      </w:r>
    </w:p>
    <w:p w14:paraId="084DC26A" w14:textId="77777777" w:rsidR="00EA7C9B" w:rsidRDefault="00EA7C9B" w:rsidP="00EA7C9B">
      <w:pPr>
        <w:ind w:firstLineChars="100" w:firstLine="210"/>
      </w:pPr>
      <w:r>
        <w:rPr>
          <w:rFonts w:hint="eastAsia"/>
        </w:rPr>
        <w:t xml:space="preserve">官网二维码 </w:t>
      </w:r>
      <w:r>
        <w:t xml:space="preserve">          </w:t>
      </w:r>
      <w:r>
        <w:rPr>
          <w:rFonts w:hint="eastAsia"/>
        </w:rPr>
        <w:t>微信公众号</w:t>
      </w:r>
    </w:p>
    <w:p w14:paraId="2A28129C" w14:textId="77777777" w:rsidR="00EA7C9B" w:rsidRPr="00B54A43" w:rsidRDefault="00EA7C9B" w:rsidP="00EA7C9B">
      <w:pPr>
        <w:rPr>
          <w:i/>
        </w:rPr>
      </w:pPr>
    </w:p>
    <w:p w14:paraId="5E5EA3B1" w14:textId="77777777" w:rsidR="00EA7C9B" w:rsidRPr="00B54A43" w:rsidRDefault="00EA7C9B" w:rsidP="00EA7C9B">
      <w:pPr>
        <w:rPr>
          <w:i/>
        </w:rPr>
      </w:pPr>
      <w:r>
        <w:rPr>
          <w:rFonts w:hint="eastAsia"/>
        </w:rPr>
        <w:t>EDF</w:t>
      </w:r>
      <w:r>
        <w:t xml:space="preserve">logo    </w:t>
      </w:r>
      <w:r>
        <w:rPr>
          <w:rFonts w:hint="eastAsia"/>
        </w:rPr>
        <w:t>清华公管学院logo</w:t>
      </w:r>
      <w:r>
        <w:t xml:space="preserve">   CIDEGlogo</w:t>
      </w:r>
    </w:p>
    <w:p w14:paraId="6FBA9FE7" w14:textId="77777777" w:rsidR="00EA7C9B" w:rsidRPr="00B54A43" w:rsidRDefault="00EA7C9B" w:rsidP="00EA7C9B"/>
    <w:p w14:paraId="075A51C8" w14:textId="2F000F78" w:rsidR="00EA7C9B" w:rsidRPr="00937FD6" w:rsidRDefault="00EA7C9B" w:rsidP="00212D3C">
      <w:pPr>
        <w:ind w:firstLineChars="200" w:firstLine="420"/>
      </w:pPr>
    </w:p>
    <w:sectPr w:rsidR="00EA7C9B" w:rsidRPr="00937FD6" w:rsidSect="009443B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9C807" w14:textId="77777777" w:rsidR="00000D51" w:rsidRDefault="00000D51" w:rsidP="00160544">
      <w:r>
        <w:separator/>
      </w:r>
    </w:p>
  </w:endnote>
  <w:endnote w:type="continuationSeparator" w:id="0">
    <w:p w14:paraId="4F644F41" w14:textId="77777777" w:rsidR="00000D51" w:rsidRDefault="00000D51" w:rsidP="0016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汉仪大宋简">
    <w:altName w:val="等线"/>
    <w:charset w:val="86"/>
    <w:family w:val="auto"/>
    <w:pitch w:val="variable"/>
    <w:sig w:usb0="00000001" w:usb1="080E0800" w:usb2="00000012" w:usb3="00000000" w:csb0="00040000" w:csb1="00000000"/>
  </w:font>
  <w:font w:name="汉仪中圆简">
    <w:altName w:val="黑体"/>
    <w:charset w:val="86"/>
    <w:family w:val="modern"/>
    <w:pitch w:val="fixed"/>
    <w:sig w:usb0="00000001" w:usb1="080E0800" w:usb2="00000012" w:usb3="00000000" w:csb0="00040000" w:csb1="00000000"/>
  </w:font>
  <w:font w:name="PMingLiU">
    <w:altName w:val="Microsoft JhengHei"/>
    <w:panose1 w:val="02010601000101010101"/>
    <w:charset w:val="88"/>
    <w:family w:val="auto"/>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1776A" w14:textId="77777777" w:rsidR="00000D51" w:rsidRDefault="00000D51" w:rsidP="00160544">
      <w:r>
        <w:separator/>
      </w:r>
    </w:p>
  </w:footnote>
  <w:footnote w:type="continuationSeparator" w:id="0">
    <w:p w14:paraId="3F19D2A8" w14:textId="77777777" w:rsidR="00000D51" w:rsidRDefault="00000D51" w:rsidP="00160544">
      <w:r>
        <w:continuationSeparator/>
      </w:r>
    </w:p>
  </w:footnote>
  <w:footnote w:id="1">
    <w:p w14:paraId="7205C624" w14:textId="77777777" w:rsidR="00160544" w:rsidRPr="009F4895" w:rsidRDefault="00160544" w:rsidP="00160544">
      <w:pPr>
        <w:rPr>
          <w:sz w:val="18"/>
          <w:szCs w:val="18"/>
        </w:rPr>
      </w:pPr>
      <w:r w:rsidRPr="009F4895">
        <w:rPr>
          <w:rStyle w:val="a9"/>
          <w:sz w:val="18"/>
          <w:szCs w:val="18"/>
        </w:rPr>
        <w:footnoteRef/>
      </w:r>
      <w:r w:rsidRPr="009F4895">
        <w:rPr>
          <w:sz w:val="18"/>
          <w:szCs w:val="18"/>
        </w:rPr>
        <w:t xml:space="preserve"> </w:t>
      </w:r>
      <w:r w:rsidRPr="009F4895">
        <w:rPr>
          <w:rFonts w:hint="eastAsia"/>
          <w:sz w:val="18"/>
          <w:szCs w:val="18"/>
        </w:rPr>
        <w:t>小组主页见：</w:t>
      </w:r>
      <w:r w:rsidRPr="009F4895">
        <w:rPr>
          <w:sz w:val="18"/>
          <w:szCs w:val="18"/>
        </w:rPr>
        <w:t>http</w:t>
      </w:r>
      <w:r w:rsidR="003F683A">
        <w:rPr>
          <w:sz w:val="18"/>
          <w:szCs w:val="18"/>
        </w:rPr>
        <w:t>：</w:t>
      </w:r>
      <w:r w:rsidRPr="009F4895">
        <w:rPr>
          <w:sz w:val="18"/>
          <w:szCs w:val="18"/>
        </w:rPr>
        <w:t>//scholar.pku.edu.cn/hanchengdai</w:t>
      </w:r>
    </w:p>
  </w:footnote>
  <w:footnote w:id="2">
    <w:p w14:paraId="628F4CE9" w14:textId="77777777" w:rsidR="00160544" w:rsidRDefault="00160544" w:rsidP="00160544">
      <w:r w:rsidRPr="009F4895">
        <w:rPr>
          <w:rStyle w:val="a9"/>
          <w:sz w:val="18"/>
          <w:szCs w:val="18"/>
        </w:rPr>
        <w:footnoteRef/>
      </w:r>
      <w:r w:rsidRPr="009F4895">
        <w:rPr>
          <w:sz w:val="18"/>
          <w:szCs w:val="18"/>
        </w:rPr>
        <w:t xml:space="preserve"> </w:t>
      </w:r>
      <w:r w:rsidRPr="009F4895">
        <w:rPr>
          <w:rFonts w:hint="eastAsia"/>
          <w:sz w:val="18"/>
          <w:szCs w:val="18"/>
        </w:rPr>
        <w:t>模型最新介绍见：</w:t>
      </w:r>
      <w:r w:rsidRPr="009F4895">
        <w:rPr>
          <w:sz w:val="18"/>
          <w:szCs w:val="18"/>
        </w:rPr>
        <w:t>http</w:t>
      </w:r>
      <w:r w:rsidR="003F683A">
        <w:rPr>
          <w:sz w:val="18"/>
          <w:szCs w:val="18"/>
        </w:rPr>
        <w:t>：</w:t>
      </w:r>
      <w:r w:rsidRPr="009F4895">
        <w:rPr>
          <w:sz w:val="18"/>
          <w:szCs w:val="18"/>
        </w:rPr>
        <w:t>//scholar.pku.edu.cn/hanchengdai/imedcge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D036B"/>
    <w:multiLevelType w:val="hybridMultilevel"/>
    <w:tmpl w:val="A3A6A09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 w15:restartNumberingAfterBreak="0">
    <w:nsid w:val="6BC77BBE"/>
    <w:multiLevelType w:val="hybridMultilevel"/>
    <w:tmpl w:val="D0B8D3F4"/>
    <w:lvl w:ilvl="0" w:tplc="54F0DDAC">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1MDQwNjIxMDQ2NDZX0lEKTi0uzszPAykwrAUA6WDvGiwAAAA="/>
    <w:docVar w:name="EN.Layout" w:val="&lt;ENLayout&gt;&lt;Style&gt;Numbere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vrsxwr79dvemevep95sf9d529t5ede2vd9&quot;&gt;shangh&lt;record-ids&gt;&lt;item&gt;3&lt;/item&gt;&lt;/record-ids&gt;&lt;/item&gt;&lt;/Libraries&gt;"/>
  </w:docVars>
  <w:rsids>
    <w:rsidRoot w:val="00C45C5E"/>
    <w:rsid w:val="00000D51"/>
    <w:rsid w:val="00027F17"/>
    <w:rsid w:val="00032E5E"/>
    <w:rsid w:val="00040659"/>
    <w:rsid w:val="00043195"/>
    <w:rsid w:val="000528AC"/>
    <w:rsid w:val="00065AD0"/>
    <w:rsid w:val="00085163"/>
    <w:rsid w:val="00085A8C"/>
    <w:rsid w:val="000C7D5A"/>
    <w:rsid w:val="000D63C6"/>
    <w:rsid w:val="000E4C5C"/>
    <w:rsid w:val="000F77A9"/>
    <w:rsid w:val="00111230"/>
    <w:rsid w:val="00121401"/>
    <w:rsid w:val="00123B54"/>
    <w:rsid w:val="00131F6D"/>
    <w:rsid w:val="00133A20"/>
    <w:rsid w:val="00160544"/>
    <w:rsid w:val="001710EF"/>
    <w:rsid w:val="001733D6"/>
    <w:rsid w:val="00173E89"/>
    <w:rsid w:val="00177B33"/>
    <w:rsid w:val="0018260D"/>
    <w:rsid w:val="001A532E"/>
    <w:rsid w:val="001D198C"/>
    <w:rsid w:val="00212D3C"/>
    <w:rsid w:val="00226D19"/>
    <w:rsid w:val="002359FD"/>
    <w:rsid w:val="00237E1C"/>
    <w:rsid w:val="0025337A"/>
    <w:rsid w:val="002557ED"/>
    <w:rsid w:val="002562DA"/>
    <w:rsid w:val="00274127"/>
    <w:rsid w:val="002811BC"/>
    <w:rsid w:val="00285752"/>
    <w:rsid w:val="002B0016"/>
    <w:rsid w:val="002E4B77"/>
    <w:rsid w:val="002E7079"/>
    <w:rsid w:val="00313AE4"/>
    <w:rsid w:val="00332D08"/>
    <w:rsid w:val="0033470F"/>
    <w:rsid w:val="003417C1"/>
    <w:rsid w:val="003418AD"/>
    <w:rsid w:val="00354278"/>
    <w:rsid w:val="00357AC8"/>
    <w:rsid w:val="003A1D45"/>
    <w:rsid w:val="003C5A87"/>
    <w:rsid w:val="003E425F"/>
    <w:rsid w:val="003F396D"/>
    <w:rsid w:val="003F683A"/>
    <w:rsid w:val="00427678"/>
    <w:rsid w:val="00457490"/>
    <w:rsid w:val="0046262D"/>
    <w:rsid w:val="004630E0"/>
    <w:rsid w:val="00484CBF"/>
    <w:rsid w:val="004C2EE5"/>
    <w:rsid w:val="004E213B"/>
    <w:rsid w:val="0050708F"/>
    <w:rsid w:val="00510E76"/>
    <w:rsid w:val="005169C4"/>
    <w:rsid w:val="00535F83"/>
    <w:rsid w:val="00537BFE"/>
    <w:rsid w:val="00547D37"/>
    <w:rsid w:val="005530BD"/>
    <w:rsid w:val="00555F63"/>
    <w:rsid w:val="00562E71"/>
    <w:rsid w:val="00570139"/>
    <w:rsid w:val="005952F1"/>
    <w:rsid w:val="005A337B"/>
    <w:rsid w:val="005B7C7E"/>
    <w:rsid w:val="005B7CD2"/>
    <w:rsid w:val="00620AC9"/>
    <w:rsid w:val="00654CB5"/>
    <w:rsid w:val="00694EFA"/>
    <w:rsid w:val="006B6015"/>
    <w:rsid w:val="006C1BD9"/>
    <w:rsid w:val="006C29DF"/>
    <w:rsid w:val="006C60DC"/>
    <w:rsid w:val="0073247C"/>
    <w:rsid w:val="00761390"/>
    <w:rsid w:val="0077733A"/>
    <w:rsid w:val="00780CA4"/>
    <w:rsid w:val="007929C5"/>
    <w:rsid w:val="007A5EA6"/>
    <w:rsid w:val="007B3465"/>
    <w:rsid w:val="007D626C"/>
    <w:rsid w:val="007F0074"/>
    <w:rsid w:val="008048AD"/>
    <w:rsid w:val="00807835"/>
    <w:rsid w:val="008079B3"/>
    <w:rsid w:val="00813F44"/>
    <w:rsid w:val="0083727F"/>
    <w:rsid w:val="00850D9D"/>
    <w:rsid w:val="00857E81"/>
    <w:rsid w:val="00885251"/>
    <w:rsid w:val="0088753C"/>
    <w:rsid w:val="00894402"/>
    <w:rsid w:val="00896B71"/>
    <w:rsid w:val="008B01C0"/>
    <w:rsid w:val="008B2028"/>
    <w:rsid w:val="009170BD"/>
    <w:rsid w:val="00935968"/>
    <w:rsid w:val="00937FD6"/>
    <w:rsid w:val="009427B8"/>
    <w:rsid w:val="00956A47"/>
    <w:rsid w:val="0099447C"/>
    <w:rsid w:val="009A0DFF"/>
    <w:rsid w:val="009A424A"/>
    <w:rsid w:val="009C0BF7"/>
    <w:rsid w:val="009C3F19"/>
    <w:rsid w:val="009D100D"/>
    <w:rsid w:val="009E1ADC"/>
    <w:rsid w:val="00A0268F"/>
    <w:rsid w:val="00A06F17"/>
    <w:rsid w:val="00A155E6"/>
    <w:rsid w:val="00A2440D"/>
    <w:rsid w:val="00A42DC2"/>
    <w:rsid w:val="00A654D0"/>
    <w:rsid w:val="00A778B9"/>
    <w:rsid w:val="00A81728"/>
    <w:rsid w:val="00A93975"/>
    <w:rsid w:val="00AC0497"/>
    <w:rsid w:val="00AE3317"/>
    <w:rsid w:val="00B35DCF"/>
    <w:rsid w:val="00B6215C"/>
    <w:rsid w:val="00B622C7"/>
    <w:rsid w:val="00B63DD7"/>
    <w:rsid w:val="00B82A74"/>
    <w:rsid w:val="00B92FB5"/>
    <w:rsid w:val="00B951DD"/>
    <w:rsid w:val="00BA3237"/>
    <w:rsid w:val="00BB0941"/>
    <w:rsid w:val="00BB66AC"/>
    <w:rsid w:val="00BC7AA8"/>
    <w:rsid w:val="00BF64DA"/>
    <w:rsid w:val="00C05B4F"/>
    <w:rsid w:val="00C16CB4"/>
    <w:rsid w:val="00C17607"/>
    <w:rsid w:val="00C25ECF"/>
    <w:rsid w:val="00C45C5E"/>
    <w:rsid w:val="00C46F46"/>
    <w:rsid w:val="00C47611"/>
    <w:rsid w:val="00C62DB5"/>
    <w:rsid w:val="00C658FC"/>
    <w:rsid w:val="00C733BA"/>
    <w:rsid w:val="00C8329B"/>
    <w:rsid w:val="00D01CE2"/>
    <w:rsid w:val="00D16DD1"/>
    <w:rsid w:val="00D3207E"/>
    <w:rsid w:val="00D34957"/>
    <w:rsid w:val="00D57CA0"/>
    <w:rsid w:val="00D62879"/>
    <w:rsid w:val="00D64DFB"/>
    <w:rsid w:val="00D900C4"/>
    <w:rsid w:val="00DB2606"/>
    <w:rsid w:val="00DF1202"/>
    <w:rsid w:val="00E155AB"/>
    <w:rsid w:val="00E17C02"/>
    <w:rsid w:val="00E63D7F"/>
    <w:rsid w:val="00E70BBA"/>
    <w:rsid w:val="00E9142E"/>
    <w:rsid w:val="00EA7C9B"/>
    <w:rsid w:val="00ED144B"/>
    <w:rsid w:val="00ED7E95"/>
    <w:rsid w:val="00EF1ADD"/>
    <w:rsid w:val="00F054E2"/>
    <w:rsid w:val="00F10D7B"/>
    <w:rsid w:val="00F1254C"/>
    <w:rsid w:val="00F12F78"/>
    <w:rsid w:val="00F155D3"/>
    <w:rsid w:val="00F2354F"/>
    <w:rsid w:val="00F26515"/>
    <w:rsid w:val="00F669D8"/>
    <w:rsid w:val="00FA46F5"/>
    <w:rsid w:val="00FB546C"/>
    <w:rsid w:val="00FD6225"/>
    <w:rsid w:val="00FE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84E8E"/>
  <w15:chartTrackingRefBased/>
  <w15:docId w15:val="{D9DC1C2D-365C-47B2-8CE9-772BC4A1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5952F1"/>
    <w:pPr>
      <w:keepNext/>
      <w:keepLines/>
      <w:spacing w:before="120" w:after="120"/>
      <w:outlineLvl w:val="0"/>
    </w:pPr>
    <w:rPr>
      <w:rFonts w:eastAsia="宋体"/>
      <w:b/>
      <w:bCs/>
      <w:kern w:val="44"/>
      <w:sz w:val="32"/>
      <w:szCs w:val="44"/>
    </w:rPr>
  </w:style>
  <w:style w:type="paragraph" w:styleId="2">
    <w:name w:val="heading 2"/>
    <w:basedOn w:val="a"/>
    <w:next w:val="a"/>
    <w:link w:val="20"/>
    <w:uiPriority w:val="9"/>
    <w:semiHidden/>
    <w:unhideWhenUsed/>
    <w:qFormat/>
    <w:rsid w:val="003F396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9C0BF7"/>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9C0BF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2F1"/>
    <w:rPr>
      <w:rFonts w:eastAsia="宋体"/>
      <w:b/>
      <w:bCs/>
      <w:kern w:val="44"/>
      <w:sz w:val="32"/>
      <w:szCs w:val="44"/>
    </w:rPr>
  </w:style>
  <w:style w:type="table" w:styleId="11">
    <w:name w:val="Grid Table 1 Light"/>
    <w:aliases w:val="三线表"/>
    <w:basedOn w:val="12"/>
    <w:uiPriority w:val="46"/>
    <w:rsid w:val="009C3F19"/>
    <w:pPr>
      <w:spacing w:before="60" w:after="60"/>
      <w:jc w:val="center"/>
    </w:pPr>
    <w:rPr>
      <w:rFonts w:ascii="Times New Roman" w:eastAsia="宋体" w:hAnsi="Times New Roman" w:cs="Times New Roman"/>
      <w:kern w:val="0"/>
      <w:sz w:val="22"/>
      <w:szCs w:val="20"/>
    </w:rPr>
    <w:tblPr>
      <w:tblStyleRowBandSize w:val="1"/>
      <w:tblStyleColBandSize w:val="1"/>
      <w:tblBorders>
        <w:top w:val="single" w:sz="8" w:space="0" w:color="auto"/>
        <w:bottom w:val="single" w:sz="8" w:space="0" w:color="auto"/>
      </w:tblBorders>
    </w:tblPr>
    <w:tcPr>
      <w:shd w:val="clear" w:color="auto" w:fill="auto"/>
      <w:vAlign w:val="center"/>
    </w:tcPr>
    <w:tblStylePr w:type="firstRow">
      <w:rPr>
        <w:b/>
        <w:bCs/>
      </w:rPr>
      <w:tblPr/>
      <w:tcPr>
        <w:tcBorders>
          <w:bottom w:val="single" w:sz="12" w:space="0" w:color="666666" w:themeColor="text1" w:themeTint="99"/>
          <w:tl2br w:val="none" w:sz="0" w:space="0" w:color="auto"/>
          <w:tr2bl w:val="none" w:sz="0" w:space="0" w:color="auto"/>
        </w:tcBorders>
      </w:tcPr>
    </w:tblStylePr>
    <w:tblStylePr w:type="lastRow">
      <w:rPr>
        <w:b/>
        <w:bCs/>
      </w:rPr>
      <w:tblPr/>
      <w:tcPr>
        <w:tcBorders>
          <w:top w:val="double" w:sz="2" w:space="0" w:color="666666" w:themeColor="text1" w:themeTint="99"/>
          <w:tl2br w:val="none" w:sz="0" w:space="0" w:color="auto"/>
          <w:tr2bl w:val="none" w:sz="0" w:space="0" w:color="auto"/>
        </w:tcBorders>
      </w:tcPr>
    </w:tblStylePr>
    <w:tblStylePr w:type="firstCol">
      <w:rPr>
        <w:b/>
        <w:bCs/>
      </w:rPr>
    </w:tblStylePr>
    <w:tblStylePr w:type="lastCol">
      <w:rPr>
        <w:b/>
        <w:bCs/>
      </w:rPr>
    </w:tblStylePr>
  </w:style>
  <w:style w:type="table" w:styleId="12">
    <w:name w:val="Table Simple 1"/>
    <w:basedOn w:val="a1"/>
    <w:uiPriority w:val="99"/>
    <w:semiHidden/>
    <w:unhideWhenUsed/>
    <w:rsid w:val="006C1BD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3">
    <w:name w:val="三线表1"/>
    <w:basedOn w:val="12"/>
    <w:next w:val="11"/>
    <w:uiPriority w:val="46"/>
    <w:rsid w:val="00956A47"/>
    <w:pPr>
      <w:jc w:val="center"/>
    </w:pPr>
    <w:rPr>
      <w:rFonts w:ascii="Times New Roman" w:eastAsia="宋体" w:hAnsi="Times New Roman" w:cs="Times New Roman"/>
      <w:kern w:val="0"/>
      <w:sz w:val="22"/>
      <w:szCs w:val="20"/>
    </w:rPr>
    <w:tblPr>
      <w:tblStyleRowBandSize w:val="1"/>
      <w:tblStyleColBandSize w:val="1"/>
      <w:tblBorders>
        <w:top w:val="single" w:sz="4" w:space="0" w:color="auto"/>
        <w:bottom w:val="single" w:sz="4" w:space="0" w:color="auto"/>
      </w:tblBorders>
    </w:tblPr>
    <w:tcPr>
      <w:shd w:val="clear" w:color="auto" w:fill="auto"/>
      <w:vAlign w:val="center"/>
    </w:tcPr>
    <w:tblStylePr w:type="firstRow">
      <w:rPr>
        <w:b/>
        <w:bCs/>
      </w:rPr>
      <w:tblPr/>
      <w:tcPr>
        <w:tcBorders>
          <w:bottom w:val="single" w:sz="12" w:space="0" w:color="666666"/>
          <w:tl2br w:val="none" w:sz="0" w:space="0" w:color="auto"/>
          <w:tr2bl w:val="none" w:sz="0" w:space="0" w:color="auto"/>
        </w:tcBorders>
      </w:tcPr>
    </w:tblStylePr>
    <w:tblStylePr w:type="lastRow">
      <w:rPr>
        <w:b/>
        <w:bCs/>
      </w:rPr>
      <w:tblPr/>
      <w:tcPr>
        <w:tcBorders>
          <w:top w:val="double" w:sz="2" w:space="0" w:color="666666"/>
          <w:tl2br w:val="none" w:sz="0" w:space="0" w:color="auto"/>
          <w:tr2bl w:val="none" w:sz="0" w:space="0" w:color="auto"/>
        </w:tcBorders>
      </w:tcPr>
    </w:tblStylePr>
    <w:tblStylePr w:type="firstCol">
      <w:rPr>
        <w:b/>
        <w:bCs/>
      </w:rPr>
    </w:tblStylePr>
    <w:tblStylePr w:type="lastCol">
      <w:rPr>
        <w:b/>
        <w:bCs/>
      </w:rPr>
    </w:tblStylePr>
  </w:style>
  <w:style w:type="paragraph" w:customStyle="1" w:styleId="a3">
    <w:name w:val="参考文献"/>
    <w:basedOn w:val="a"/>
    <w:link w:val="a4"/>
    <w:qFormat/>
    <w:rsid w:val="00956A47"/>
    <w:pPr>
      <w:spacing w:before="60" w:line="320" w:lineRule="exact"/>
      <w:ind w:left="198" w:hanging="198"/>
      <w:contextualSpacing/>
    </w:pPr>
    <w:rPr>
      <w:rFonts w:ascii="宋体" w:hAnsi="宋体" w:cs="Times New Roman"/>
      <w:noProof/>
      <w:szCs w:val="21"/>
    </w:rPr>
  </w:style>
  <w:style w:type="character" w:customStyle="1" w:styleId="a4">
    <w:name w:val="参考文献 字符"/>
    <w:basedOn w:val="a0"/>
    <w:link w:val="a3"/>
    <w:rsid w:val="00956A47"/>
    <w:rPr>
      <w:rFonts w:ascii="宋体" w:hAnsi="宋体" w:cs="Times New Roman"/>
      <w:noProof/>
      <w:szCs w:val="21"/>
    </w:rPr>
  </w:style>
  <w:style w:type="paragraph" w:customStyle="1" w:styleId="a5">
    <w:name w:val="图标标题"/>
    <w:basedOn w:val="a"/>
    <w:link w:val="a6"/>
    <w:qFormat/>
    <w:rsid w:val="00956A47"/>
    <w:pPr>
      <w:spacing w:before="240" w:after="120"/>
      <w:contextualSpacing/>
      <w:jc w:val="center"/>
    </w:pPr>
    <w:rPr>
      <w:sz w:val="22"/>
    </w:rPr>
  </w:style>
  <w:style w:type="character" w:customStyle="1" w:styleId="a6">
    <w:name w:val="图标标题 字符"/>
    <w:basedOn w:val="a0"/>
    <w:link w:val="a5"/>
    <w:rsid w:val="00956A47"/>
    <w:rPr>
      <w:sz w:val="22"/>
    </w:rPr>
  </w:style>
  <w:style w:type="paragraph" w:styleId="a7">
    <w:name w:val="Balloon Text"/>
    <w:basedOn w:val="a"/>
    <w:link w:val="a8"/>
    <w:uiPriority w:val="99"/>
    <w:semiHidden/>
    <w:unhideWhenUsed/>
    <w:rsid w:val="00C45C5E"/>
    <w:rPr>
      <w:sz w:val="18"/>
      <w:szCs w:val="18"/>
    </w:rPr>
  </w:style>
  <w:style w:type="character" w:customStyle="1" w:styleId="a8">
    <w:name w:val="批注框文本 字符"/>
    <w:basedOn w:val="a0"/>
    <w:link w:val="a7"/>
    <w:uiPriority w:val="99"/>
    <w:semiHidden/>
    <w:rsid w:val="00C45C5E"/>
    <w:rPr>
      <w:sz w:val="18"/>
      <w:szCs w:val="18"/>
    </w:rPr>
  </w:style>
  <w:style w:type="paragraph" w:customStyle="1" w:styleId="EndNoteBibliographyTitle">
    <w:name w:val="EndNote Bibliography Title"/>
    <w:basedOn w:val="a"/>
    <w:link w:val="EndNoteBibliographyTitle0"/>
    <w:rsid w:val="00C17607"/>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C17607"/>
    <w:rPr>
      <w:rFonts w:ascii="等线" w:eastAsia="等线" w:hAnsi="等线"/>
      <w:noProof/>
      <w:sz w:val="20"/>
    </w:rPr>
  </w:style>
  <w:style w:type="paragraph" w:customStyle="1" w:styleId="EndNoteBibliography">
    <w:name w:val="EndNote Bibliography"/>
    <w:basedOn w:val="a"/>
    <w:link w:val="EndNoteBibliography0"/>
    <w:rsid w:val="00C17607"/>
    <w:rPr>
      <w:rFonts w:ascii="等线" w:eastAsia="等线" w:hAnsi="等线"/>
      <w:noProof/>
      <w:sz w:val="20"/>
    </w:rPr>
  </w:style>
  <w:style w:type="character" w:customStyle="1" w:styleId="EndNoteBibliography0">
    <w:name w:val="EndNote Bibliography 字符"/>
    <w:basedOn w:val="a0"/>
    <w:link w:val="EndNoteBibliography"/>
    <w:rsid w:val="00C17607"/>
    <w:rPr>
      <w:rFonts w:ascii="等线" w:eastAsia="等线" w:hAnsi="等线"/>
      <w:noProof/>
      <w:sz w:val="20"/>
    </w:rPr>
  </w:style>
  <w:style w:type="character" w:styleId="a9">
    <w:name w:val="footnote reference"/>
    <w:uiPriority w:val="99"/>
    <w:semiHidden/>
    <w:rsid w:val="00160544"/>
    <w:rPr>
      <w:vertAlign w:val="superscript"/>
    </w:rPr>
  </w:style>
  <w:style w:type="paragraph" w:styleId="aa">
    <w:name w:val="Normal Indent"/>
    <w:basedOn w:val="a"/>
    <w:link w:val="ab"/>
    <w:rsid w:val="00D16DD1"/>
    <w:pPr>
      <w:topLinePunct/>
      <w:adjustRightInd w:val="0"/>
      <w:ind w:firstLineChars="200" w:firstLine="420"/>
    </w:pPr>
    <w:rPr>
      <w:rFonts w:ascii="Times New Roman" w:eastAsia="宋体" w:hAnsi="Times New Roman" w:cs="Times New Roman"/>
      <w:color w:val="000000"/>
      <w:kern w:val="21"/>
      <w:szCs w:val="21"/>
    </w:rPr>
  </w:style>
  <w:style w:type="paragraph" w:customStyle="1" w:styleId="-">
    <w:name w:val="图标题-报告"/>
    <w:basedOn w:val="a"/>
    <w:link w:val="-0"/>
    <w:qFormat/>
    <w:rsid w:val="00D16DD1"/>
    <w:pPr>
      <w:topLinePunct/>
      <w:adjustRightInd w:val="0"/>
      <w:spacing w:before="40" w:after="320"/>
      <w:jc w:val="center"/>
    </w:pPr>
    <w:rPr>
      <w:rFonts w:ascii="Arial" w:eastAsia="黑体" w:hAnsi="Arial" w:cs="Times New Roman"/>
      <w:kern w:val="18"/>
      <w:sz w:val="18"/>
      <w:szCs w:val="24"/>
      <w:lang w:eastAsia="zh-TW"/>
    </w:rPr>
  </w:style>
  <w:style w:type="character" w:customStyle="1" w:styleId="ab">
    <w:name w:val="正文缩进 字符"/>
    <w:basedOn w:val="a0"/>
    <w:link w:val="aa"/>
    <w:rsid w:val="00D16DD1"/>
    <w:rPr>
      <w:rFonts w:ascii="Times New Roman" w:eastAsia="宋体" w:hAnsi="Times New Roman" w:cs="Times New Roman"/>
      <w:color w:val="000000"/>
      <w:kern w:val="21"/>
      <w:szCs w:val="21"/>
    </w:rPr>
  </w:style>
  <w:style w:type="character" w:customStyle="1" w:styleId="-0">
    <w:name w:val="图标题-报告 字符"/>
    <w:basedOn w:val="a0"/>
    <w:link w:val="-"/>
    <w:rsid w:val="00D16DD1"/>
    <w:rPr>
      <w:rFonts w:ascii="Arial" w:eastAsia="黑体" w:hAnsi="Arial" w:cs="Times New Roman"/>
      <w:kern w:val="18"/>
      <w:sz w:val="18"/>
      <w:szCs w:val="24"/>
      <w:lang w:eastAsia="zh-TW"/>
    </w:rPr>
  </w:style>
  <w:style w:type="character" w:customStyle="1" w:styleId="30">
    <w:name w:val="标题 3 字符"/>
    <w:basedOn w:val="a0"/>
    <w:link w:val="3"/>
    <w:uiPriority w:val="9"/>
    <w:semiHidden/>
    <w:rsid w:val="009C0BF7"/>
    <w:rPr>
      <w:b/>
      <w:bCs/>
      <w:sz w:val="32"/>
      <w:szCs w:val="32"/>
    </w:rPr>
  </w:style>
  <w:style w:type="character" w:customStyle="1" w:styleId="40">
    <w:name w:val="标题 4 字符"/>
    <w:basedOn w:val="a0"/>
    <w:link w:val="4"/>
    <w:uiPriority w:val="9"/>
    <w:semiHidden/>
    <w:rsid w:val="009C0BF7"/>
    <w:rPr>
      <w:rFonts w:asciiTheme="majorHAnsi" w:eastAsiaTheme="majorEastAsia" w:hAnsiTheme="majorHAnsi" w:cstheme="majorBidi"/>
      <w:b/>
      <w:bCs/>
      <w:sz w:val="28"/>
      <w:szCs w:val="28"/>
    </w:rPr>
  </w:style>
  <w:style w:type="table" w:customStyle="1" w:styleId="ac">
    <w:name w:val="表格自定"/>
    <w:basedOn w:val="a1"/>
    <w:rsid w:val="00357AC8"/>
    <w:pPr>
      <w:spacing w:line="270" w:lineRule="exact"/>
    </w:pPr>
    <w:rPr>
      <w:rFonts w:ascii="Times New Roman" w:eastAsia="宋体" w:hAnsi="Times New Roman" w:cs="Times New Roman"/>
      <w:color w:val="000000"/>
      <w:kern w:val="0"/>
      <w:sz w:val="20"/>
      <w:szCs w:val="18"/>
    </w:rPr>
    <w:tblPr>
      <w:jc w:val="center"/>
      <w:tblBorders>
        <w:top w:val="single" w:sz="8" w:space="0" w:color="FFFFFF"/>
        <w:bottom w:val="single" w:sz="8" w:space="0" w:color="FFFFFF"/>
        <w:insideH w:val="single" w:sz="8" w:space="0" w:color="FFFFFF"/>
        <w:insideV w:val="single" w:sz="8" w:space="0" w:color="FFFFFF"/>
      </w:tblBorders>
      <w:tblCellMar>
        <w:left w:w="28" w:type="dxa"/>
        <w:right w:w="28" w:type="dxa"/>
      </w:tblCellMar>
    </w:tblPr>
    <w:trPr>
      <w:jc w:val="center"/>
    </w:trPr>
    <w:tcPr>
      <w:shd w:val="clear" w:color="auto" w:fill="C5E3E9"/>
      <w:vAlign w:val="center"/>
    </w:tcPr>
    <w:tblStylePr w:type="firstRow">
      <w:tblPr/>
      <w:tcPr>
        <w:shd w:val="clear" w:color="auto" w:fill="86C4D0"/>
      </w:tcPr>
    </w:tblStylePr>
  </w:style>
  <w:style w:type="paragraph" w:styleId="ad">
    <w:name w:val="header"/>
    <w:basedOn w:val="a"/>
    <w:link w:val="ae"/>
    <w:uiPriority w:val="99"/>
    <w:unhideWhenUsed/>
    <w:rsid w:val="00354278"/>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354278"/>
    <w:rPr>
      <w:sz w:val="18"/>
      <w:szCs w:val="18"/>
    </w:rPr>
  </w:style>
  <w:style w:type="paragraph" w:styleId="af">
    <w:name w:val="footer"/>
    <w:basedOn w:val="a"/>
    <w:link w:val="af0"/>
    <w:uiPriority w:val="99"/>
    <w:unhideWhenUsed/>
    <w:rsid w:val="00354278"/>
    <w:pPr>
      <w:tabs>
        <w:tab w:val="center" w:pos="4153"/>
        <w:tab w:val="right" w:pos="8306"/>
      </w:tabs>
      <w:snapToGrid w:val="0"/>
      <w:jc w:val="left"/>
    </w:pPr>
    <w:rPr>
      <w:sz w:val="18"/>
      <w:szCs w:val="18"/>
    </w:rPr>
  </w:style>
  <w:style w:type="character" w:customStyle="1" w:styleId="af0">
    <w:name w:val="页脚 字符"/>
    <w:basedOn w:val="a0"/>
    <w:link w:val="af"/>
    <w:uiPriority w:val="99"/>
    <w:rsid w:val="00354278"/>
    <w:rPr>
      <w:sz w:val="18"/>
      <w:szCs w:val="18"/>
    </w:rPr>
  </w:style>
  <w:style w:type="paragraph" w:customStyle="1" w:styleId="af1">
    <w:name w:val="参考文献标题"/>
    <w:basedOn w:val="2"/>
    <w:rsid w:val="003F396D"/>
    <w:pPr>
      <w:topLinePunct/>
      <w:adjustRightInd w:val="0"/>
      <w:spacing w:before="360" w:after="0" w:line="960" w:lineRule="auto"/>
      <w:jc w:val="center"/>
    </w:pPr>
    <w:rPr>
      <w:rFonts w:ascii="Arial" w:eastAsia="黑体" w:hAnsi="Arial" w:cs="Times New Roman"/>
      <w:b w:val="0"/>
      <w:bCs w:val="0"/>
      <w:color w:val="007DB6"/>
      <w:kern w:val="27"/>
      <w:sz w:val="27"/>
      <w:szCs w:val="27"/>
    </w:rPr>
  </w:style>
  <w:style w:type="character" w:customStyle="1" w:styleId="20">
    <w:name w:val="标题 2 字符"/>
    <w:basedOn w:val="a0"/>
    <w:link w:val="2"/>
    <w:uiPriority w:val="9"/>
    <w:semiHidden/>
    <w:rsid w:val="003F396D"/>
    <w:rPr>
      <w:rFonts w:asciiTheme="majorHAnsi" w:eastAsiaTheme="majorEastAsia" w:hAnsiTheme="majorHAnsi" w:cstheme="majorBidi"/>
      <w:b/>
      <w:bCs/>
      <w:sz w:val="32"/>
      <w:szCs w:val="32"/>
    </w:rPr>
  </w:style>
  <w:style w:type="character" w:styleId="af2">
    <w:name w:val="annotation reference"/>
    <w:basedOn w:val="a0"/>
    <w:uiPriority w:val="99"/>
    <w:semiHidden/>
    <w:unhideWhenUsed/>
    <w:rsid w:val="00B622C7"/>
    <w:rPr>
      <w:sz w:val="16"/>
      <w:szCs w:val="16"/>
    </w:rPr>
  </w:style>
  <w:style w:type="paragraph" w:styleId="af3">
    <w:name w:val="annotation text"/>
    <w:basedOn w:val="a"/>
    <w:link w:val="af4"/>
    <w:uiPriority w:val="99"/>
    <w:semiHidden/>
    <w:unhideWhenUsed/>
    <w:rsid w:val="00B622C7"/>
    <w:rPr>
      <w:sz w:val="20"/>
      <w:szCs w:val="20"/>
    </w:rPr>
  </w:style>
  <w:style w:type="character" w:customStyle="1" w:styleId="af4">
    <w:name w:val="批注文字 字符"/>
    <w:basedOn w:val="a0"/>
    <w:link w:val="af3"/>
    <w:uiPriority w:val="99"/>
    <w:semiHidden/>
    <w:rsid w:val="00B622C7"/>
    <w:rPr>
      <w:sz w:val="20"/>
      <w:szCs w:val="20"/>
    </w:rPr>
  </w:style>
  <w:style w:type="paragraph" w:styleId="af5">
    <w:name w:val="annotation subject"/>
    <w:basedOn w:val="af3"/>
    <w:next w:val="af3"/>
    <w:link w:val="af6"/>
    <w:uiPriority w:val="99"/>
    <w:semiHidden/>
    <w:unhideWhenUsed/>
    <w:rsid w:val="00B622C7"/>
    <w:rPr>
      <w:b/>
      <w:bCs/>
    </w:rPr>
  </w:style>
  <w:style w:type="character" w:customStyle="1" w:styleId="af6">
    <w:name w:val="批注主题 字符"/>
    <w:basedOn w:val="af4"/>
    <w:link w:val="af5"/>
    <w:uiPriority w:val="99"/>
    <w:semiHidden/>
    <w:rsid w:val="00B622C7"/>
    <w:rPr>
      <w:b/>
      <w:bCs/>
      <w:sz w:val="20"/>
      <w:szCs w:val="20"/>
    </w:rPr>
  </w:style>
  <w:style w:type="character" w:styleId="af7">
    <w:name w:val="Hyperlink"/>
    <w:basedOn w:val="a0"/>
    <w:uiPriority w:val="99"/>
    <w:unhideWhenUsed/>
    <w:rsid w:val="00C47611"/>
    <w:rPr>
      <w:color w:val="0563C1" w:themeColor="hyperlink"/>
      <w:u w:val="single"/>
    </w:rPr>
  </w:style>
  <w:style w:type="paragraph" w:styleId="af8">
    <w:name w:val="Plain Text"/>
    <w:basedOn w:val="a"/>
    <w:link w:val="af9"/>
    <w:uiPriority w:val="99"/>
    <w:rsid w:val="00C47611"/>
    <w:rPr>
      <w:rFonts w:ascii="宋体" w:eastAsia="宋体" w:hAnsi="Courier New" w:cs="Courier New"/>
      <w:szCs w:val="21"/>
    </w:rPr>
  </w:style>
  <w:style w:type="character" w:customStyle="1" w:styleId="af9">
    <w:name w:val="纯文本 字符"/>
    <w:basedOn w:val="a0"/>
    <w:link w:val="af8"/>
    <w:uiPriority w:val="99"/>
    <w:rsid w:val="00C4761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f.net.cn" TargetMode="External"/><Relationship Id="rId13" Type="http://schemas.openxmlformats.org/officeDocument/2006/relationships/image" Target="media/image5.png"/><Relationship Id="rId18" Type="http://schemas.openxmlformats.org/officeDocument/2006/relationships/hyperlink" Target="http://www.cemf.net.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35831;&#32852;&#31995;cemf@tsinghua.edu.cn" TargetMode="External"/><Relationship Id="rId12" Type="http://schemas.openxmlformats.org/officeDocument/2006/relationships/image" Target="media/image4.png"/><Relationship Id="rId17" Type="http://schemas.openxmlformats.org/officeDocument/2006/relationships/hyperlink" Target="http://www.cemf.net.cn" TargetMode="External"/><Relationship Id="rId2" Type="http://schemas.openxmlformats.org/officeDocument/2006/relationships/styles" Target="styles.xml"/><Relationship Id="rId16" Type="http://schemas.openxmlformats.org/officeDocument/2006/relationships/hyperlink" Target="mailto:cemf@tsinghua.edu.cn"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cemf@tsinghua.edu.cn" TargetMode="Externa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1400013525@pku.edu.cn</dc:creator>
  <cp:keywords/>
  <dc:description/>
  <cp:lastModifiedBy>Windows 用户</cp:lastModifiedBy>
  <cp:revision>5</cp:revision>
  <dcterms:created xsi:type="dcterms:W3CDTF">2019-12-10T07:59:00Z</dcterms:created>
  <dcterms:modified xsi:type="dcterms:W3CDTF">2019-12-12T09:43:00Z</dcterms:modified>
</cp:coreProperties>
</file>